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в 1 </w:t>
            </w:r>
            <w:r w:rsidR="007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полугодии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 w:rsidR="00F7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9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15DBE" w:rsidRDefault="00115DBE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115DBE" w:rsidRDefault="00115DBE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66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1 </w:t>
      </w:r>
      <w:r w:rsidR="00885D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полугодии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B528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9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504273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79347A" w:rsidRPr="0079347A" w:rsidRDefault="0079347A" w:rsidP="007934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рынке труда Ленинградской области при некотором росте безработицы в отдельные периоды, в целом, сохранялась стабильная ситуация. К концу июня текущего года удалось обеспечить снижение безработицы.</w:t>
      </w:r>
    </w:p>
    <w:p w:rsidR="00664449" w:rsidRPr="004261F7" w:rsidRDefault="00664449" w:rsidP="00F5577B">
      <w:pPr>
        <w:pStyle w:val="21"/>
        <w:rPr>
          <w:szCs w:val="20"/>
        </w:rPr>
      </w:pPr>
      <w:r w:rsidRPr="004261F7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AB4A3D" w:rsidRPr="004261F7" w:rsidRDefault="00AB4A3D" w:rsidP="00F5577B">
      <w:pPr>
        <w:pStyle w:val="21"/>
      </w:pPr>
      <w:r w:rsidRPr="004261F7">
        <w:tab/>
      </w:r>
      <w:r w:rsidRPr="004261F7">
        <w:rPr>
          <w:iCs/>
        </w:rPr>
        <w:t xml:space="preserve">Поддержанию стабильной ситуации </w:t>
      </w:r>
      <w:r w:rsidR="003D49E1" w:rsidRPr="004261F7">
        <w:rPr>
          <w:iCs/>
        </w:rPr>
        <w:t xml:space="preserve">и недопущению резкого роста безработицы </w:t>
      </w:r>
      <w:r w:rsidRPr="004261F7">
        <w:rPr>
          <w:iCs/>
        </w:rPr>
        <w:t>на рынке труда Ленинградской области</w:t>
      </w:r>
      <w:r w:rsidR="003D49E1" w:rsidRPr="004261F7">
        <w:rPr>
          <w:iCs/>
        </w:rPr>
        <w:t xml:space="preserve"> </w:t>
      </w:r>
      <w:r w:rsidRPr="004261F7">
        <w:rPr>
          <w:iCs/>
        </w:rPr>
        <w:t xml:space="preserve">способствовала </w:t>
      </w:r>
      <w:r w:rsidRPr="004261F7">
        <w:t xml:space="preserve">реализация </w:t>
      </w:r>
      <w:r w:rsidR="002976AA" w:rsidRPr="004261F7">
        <w:t xml:space="preserve">мероприятий </w:t>
      </w:r>
      <w:r w:rsidR="00A67216" w:rsidRPr="004261F7">
        <w:t>Г</w:t>
      </w:r>
      <w:r w:rsidRPr="004261F7">
        <w:t>осударственной программы Ленинградской области «Содействие занятости населения Ленинградской области»</w:t>
      </w:r>
      <w:r w:rsidR="00A67216" w:rsidRPr="004261F7">
        <w:t xml:space="preserve"> (далее – госпрограмма) </w:t>
      </w:r>
      <w:r w:rsidRPr="004261F7">
        <w:t xml:space="preserve">(утверждена постановлением Правительства Ленинградской области </w:t>
      </w:r>
      <w:r w:rsidR="0055041E" w:rsidRPr="004261F7">
        <w:t xml:space="preserve">                 </w:t>
      </w:r>
      <w:r w:rsidRPr="004261F7">
        <w:t>от 7 декабря 2015 года № 466).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91051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7A">
        <w:rPr>
          <w:rFonts w:ascii="Times New Roman" w:eastAsia="Times New Roman" w:hAnsi="Times New Roman" w:cs="Times New Roman"/>
          <w:sz w:val="24"/>
          <w:szCs w:val="24"/>
          <w:lang w:eastAsia="ru-RU"/>
        </w:rPr>
        <w:t>47475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предоставлении государственных услуг (далее – госуслуга).</w:t>
      </w:r>
    </w:p>
    <w:p w:rsidR="007C062A" w:rsidRPr="008D571B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госуслуги:</w:t>
      </w:r>
    </w:p>
    <w:p w:rsidR="007C062A" w:rsidRPr="008D571B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</w:t>
      </w:r>
      <w:r w:rsidR="0091051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18176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7C062A" w:rsidRPr="008D571B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91051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758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граждан;</w:t>
      </w:r>
    </w:p>
    <w:p w:rsidR="007C062A" w:rsidRPr="008D571B" w:rsidRDefault="007C062A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</w:t>
      </w:r>
      <w:r w:rsidR="0091051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696 безработных граждан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62A" w:rsidRPr="008D571B" w:rsidRDefault="007C062A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самозанятости – </w:t>
      </w:r>
      <w:r w:rsidR="00137FC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207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7C062A" w:rsidRPr="004261F7" w:rsidRDefault="007C062A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– </w:t>
      </w:r>
      <w:r w:rsidR="0079347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14303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9347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1971 работодатель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2A" w:rsidRDefault="007C062A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4261F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C062A" w:rsidRPr="008D571B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F66DA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обратились в службу занятости за содействием в поиске подходящей работы </w:t>
      </w:r>
      <w:r w:rsidR="00F66DA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14606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F66DA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в 1 </w:t>
      </w:r>
      <w:r w:rsidR="00F66DA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7C062A" w:rsidRPr="008D571B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7C062A" w:rsidRPr="008D571B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области, работавшие в Санкт-Петербурге и других регионах, и уволенные                       по различным причинам. С начала 2019 года, это </w:t>
      </w:r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жителей (обратившийся                    в службу занятости), на </w:t>
      </w:r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больше, чем в 1 </w:t>
      </w:r>
      <w:proofErr w:type="spellStart"/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плугодии</w:t>
      </w:r>
      <w:proofErr w:type="spellEnd"/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(1765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человек);</w:t>
      </w:r>
    </w:p>
    <w:p w:rsidR="007C062A" w:rsidRPr="008D571B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1250 человек (8,6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69 человек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1 </w:t>
      </w:r>
      <w:r w:rsidR="00BC025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года;</w:t>
      </w:r>
    </w:p>
    <w:p w:rsidR="007C062A" w:rsidRPr="008D571B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:rsidR="007C062A" w:rsidRPr="008D571B" w:rsidRDefault="0028415F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837 пенсионеров (5,7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:rsidR="007C062A" w:rsidRPr="008D571B" w:rsidRDefault="0028415F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934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 (6,4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C062A" w:rsidRPr="008D571B" w:rsidRDefault="0028415F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1833 родителя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несовершеннолетних детей (12,5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7C062A" w:rsidRPr="008D571B" w:rsidRDefault="0028415F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2117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стремящихся возобновить трудовую деятельность после длительн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(более года) перерыва, (14,5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др.</w:t>
      </w:r>
    </w:p>
    <w:p w:rsidR="007C062A" w:rsidRPr="008D571B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28415F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14606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 </w:t>
      </w:r>
    </w:p>
    <w:p w:rsidR="007C062A" w:rsidRPr="008D571B" w:rsidRDefault="0028415F" w:rsidP="007C06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незанятых граждан – 65,2% (в 1 полугодии 2018 года – 63,2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C062A" w:rsidRPr="008D571B" w:rsidRDefault="0028415F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49,2% (в 1 полугодии 2018 года – 49,3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C062A" w:rsidRPr="004261F7" w:rsidRDefault="007C062A" w:rsidP="004435E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r w:rsidR="0028415F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 в возрасте 14-29 лет – 45,1% (в 1 полугодии 2018 года – 48,8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03D05" w:rsidRPr="00C35ED6" w:rsidRDefault="0028415F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F28B2" wp14:editId="0998F674">
                <wp:simplePos x="0" y="0"/>
                <wp:positionH relativeFrom="column">
                  <wp:posOffset>398780</wp:posOffset>
                </wp:positionH>
                <wp:positionV relativeFrom="paragraph">
                  <wp:posOffset>161290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5DBE" w:rsidRPr="008508C6" w:rsidRDefault="00115DBE" w:rsidP="0028415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15DBE" w:rsidRDefault="00115DBE" w:rsidP="0028415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июля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115DBE" w:rsidRDefault="00115DBE" w:rsidP="0028415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5375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115DBE" w:rsidRPr="00E77951" w:rsidRDefault="00115DBE" w:rsidP="0028415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15DBE" w:rsidRDefault="00115DBE" w:rsidP="0028415F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786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115DBE" w:rsidRPr="00870F83" w:rsidRDefault="00115DBE" w:rsidP="0028415F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370 человек меньше, чем на 1 июня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115DBE" w:rsidRPr="00CC2E56" w:rsidRDefault="00115DBE" w:rsidP="0028415F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829 человек больше, чем на 1 июля 2018 года</w:t>
                            </w:r>
                          </w:p>
                          <w:p w:rsidR="00115DBE" w:rsidRPr="008508C6" w:rsidRDefault="00115DBE" w:rsidP="0028415F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1.4pt;margin-top:12.7pt;width:472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yFv8h4AAAAAoBAAAPAAAAZHJzL2Rvd25yZXYueG1sTI/NTsMwEITvSLyD&#10;tUhcELVJSykhToVA9FipBfFzc+MlCdi7Uew24e1xT3DcmdHMt8Vy9E4csA8tk4ariQKBVLFtqdbw&#10;8vx0uQARoiFrHBNq+MEAy/L0pDC55YE2eNjGWqQSCrnR0MTY5VKGqkFvwoQ7pOR9cu9NTGdfS9ub&#10;IZV7JzOl5tKbltJCYzp8aLD63u69hpUdNx/cyrfpxXpV8bt7HPD1S+vzs/H+DkTEMf6F4Yif0KFM&#10;TDvekw3CaZhniTxqyK5nII6+UjdTELukzBa3IMtC/n+h/AUAAP//AwBQSwECLQAUAAYACAAAACEA&#10;toM4kv4AAADhAQAAEwAAAAAAAAAAAAAAAAAAAAAAW0NvbnRlbnRfVHlwZXNdLnhtbFBLAQItABQA&#10;BgAIAAAAIQA4/SH/1gAAAJQBAAALAAAAAAAAAAAAAAAAAC8BAABfcmVscy8ucmVsc1BLAQItABQA&#10;BgAIAAAAIQCKJOhUxQIAAKkFAAAOAAAAAAAAAAAAAAAAAC4CAABkcnMvZTJvRG9jLnhtbFBLAQIt&#10;ABQABgAIAAAAIQAyFv8h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115DBE" w:rsidRPr="008508C6" w:rsidRDefault="00115DBE" w:rsidP="0028415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115DBE" w:rsidRDefault="00115DBE" w:rsidP="0028415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июля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115DBE" w:rsidRDefault="00115DBE" w:rsidP="0028415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5375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115DBE" w:rsidRPr="00E77951" w:rsidRDefault="00115DBE" w:rsidP="0028415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15DBE" w:rsidRDefault="00115DBE" w:rsidP="0028415F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786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115DBE" w:rsidRPr="00870F83" w:rsidRDefault="00115DBE" w:rsidP="0028415F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370 человек меньше, чем на 1 июня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115DBE" w:rsidRPr="00CC2E56" w:rsidRDefault="00115DBE" w:rsidP="0028415F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829 человек больше, чем на 1 июля 2018 года</w:t>
                      </w:r>
                    </w:p>
                    <w:p w:rsidR="00115DBE" w:rsidRPr="008508C6" w:rsidRDefault="00115DBE" w:rsidP="0028415F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8415F" w:rsidRDefault="0028415F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435E8" w:rsidRDefault="004435E8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C062A" w:rsidRDefault="00AB4A3D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:rsidR="004435E8" w:rsidRPr="004435E8" w:rsidRDefault="004435E8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C062A" w:rsidRPr="008D571B" w:rsidRDefault="00340B7E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зарегистрировано безработными 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3524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528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(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2996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7C062A" w:rsidRPr="008D571B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года на учет поставлено от 49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                         в Ломонос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овском муниципальном районе (1,4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зарегистрирова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безработных граждан) до 413 безработных граждан во Всеволожском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2059C6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районе (11,7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C062A" w:rsidRPr="008D571B" w:rsidRDefault="007C062A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DE772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4079 безработных граждан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связи </w:t>
      </w: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62A" w:rsidRPr="008D571B" w:rsidRDefault="007C062A" w:rsidP="007C0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E772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1533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E772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 (37,6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C062A" w:rsidRPr="008D571B" w:rsidRDefault="007C062A" w:rsidP="007C0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E772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732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E772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 (17,9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7C062A" w:rsidRPr="008D571B" w:rsidRDefault="00DE7721" w:rsidP="007C0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1814 человек (44,5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75D8D" w:rsidRPr="004261F7" w:rsidRDefault="00F36A78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июля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численность безработных граждан, зарегистрированных в службе занятости, </w:t>
      </w:r>
      <w:r w:rsidR="007C062A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3524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на 474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начале 2019 года (3050 человек).</w:t>
      </w:r>
      <w:r w:rsidR="007C062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5D8D" w:rsidRDefault="00E75D8D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C062A" w:rsidRPr="001D5EFA" w:rsidRDefault="00DE7721" w:rsidP="005B404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E1D3F" wp14:editId="3B04F0A6">
            <wp:extent cx="6543675" cy="32956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062A" w:rsidRDefault="007C062A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5F" w:rsidRPr="00C278C6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062A" w:rsidRPr="004261F7" w:rsidRDefault="00AF6705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численности </w:t>
      </w:r>
      <w:r w:rsidRPr="00AF6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к началу июля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62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 по сравнению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7C062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62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отмечено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Тихвинском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6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Незначительное увеличение безработных граждан наблюдалось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в 13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7C062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C062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Сосновоборском</w:t>
      </w:r>
      <w:proofErr w:type="gramEnd"/>
      <w:r w:rsidR="007C062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округе численность безработных граждан не изменилась.</w:t>
      </w:r>
    </w:p>
    <w:p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июля 2019 года (3524 человека):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3376 человек (95,8%), из них:</w:t>
      </w: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2025 человек (60%);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328 человек (9,7%);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523 человека (15,5%);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уволенные с государственной службы – 29 человек (0,9%).</w:t>
      </w:r>
      <w:proofErr w:type="gramEnd"/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3524 безработных гражданина: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723F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36 человек (1%);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34 человека (0,9%);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150 человек (5,3%);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233 человека (6,6%);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1877 человек (53,3%);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1194 человека (33,9%);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723F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996 человек (28,3%);</w:t>
      </w:r>
    </w:p>
    <w:p w:rsidR="00723F84" w:rsidRPr="00723F84" w:rsidRDefault="00723F84" w:rsidP="00723F8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1488 человек (42,2%);</w:t>
      </w: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555 человек (15,7%);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450 человек (12,8%);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35 человек (1%);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723F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723F84" w:rsidRPr="00723F84" w:rsidRDefault="00723F84" w:rsidP="00723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702 человека (19,9%);</w:t>
      </w:r>
    </w:p>
    <w:p w:rsidR="00723F84" w:rsidRPr="00723F84" w:rsidRDefault="00723F84" w:rsidP="00723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440 человек (12,5%);</w:t>
      </w:r>
    </w:p>
    <w:p w:rsidR="00723F84" w:rsidRPr="00723F84" w:rsidRDefault="00723F84" w:rsidP="00723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72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2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771 человек (21,9%);</w:t>
      </w:r>
    </w:p>
    <w:p w:rsidR="00723F84" w:rsidRPr="00723F84" w:rsidRDefault="00723F84" w:rsidP="00723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427 человек (12,1%);</w:t>
      </w:r>
    </w:p>
    <w:p w:rsidR="00723F84" w:rsidRPr="00723F84" w:rsidRDefault="00723F84" w:rsidP="0072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148 человек (4,2%).</w:t>
      </w: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0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955"/>
        <w:gridCol w:w="51"/>
        <w:gridCol w:w="576"/>
        <w:gridCol w:w="864"/>
        <w:gridCol w:w="81"/>
        <w:gridCol w:w="639"/>
        <w:gridCol w:w="863"/>
        <w:gridCol w:w="269"/>
        <w:gridCol w:w="595"/>
        <w:gridCol w:w="1135"/>
      </w:tblGrid>
      <w:tr w:rsidR="007C062A" w:rsidRPr="00076E68" w:rsidTr="00DE6A54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молодежь в</w:t>
            </w:r>
          </w:p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 16-29 лет, чел.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BA772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BA772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BA772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BA772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BA772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1128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7C062A" w:rsidRPr="00076E68" w:rsidTr="00DE6A54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C062A" w:rsidRPr="00076E68" w:rsidTr="00DE6A54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BA7724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</w:tr>
    </w:tbl>
    <w:p w:rsidR="00BA7724" w:rsidRDefault="00BA7724" w:rsidP="00BA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1F7" w:rsidRPr="004261F7" w:rsidRDefault="00BA7724" w:rsidP="00BA7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периода безработицы в целом по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A77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1 полугодия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незначительно увеличилась – до 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 (в начале текущего года – 4,3</w:t>
      </w:r>
      <w:r w:rsidRPr="00BA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месяца).</w:t>
      </w: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62A" w:rsidRPr="008D571B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</w:t>
      </w:r>
      <w:r w:rsidR="006A5D8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на 01.07.2019 имел значение 0,34% (на 0,04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</w:t>
      </w:r>
      <w:r w:rsidR="0074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(далее – </w:t>
      </w:r>
      <w:proofErr w:type="gramStart"/>
      <w:r w:rsidR="0074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43433">
        <w:rPr>
          <w:rFonts w:ascii="Times New Roman" w:eastAsia="Times New Roman" w:hAnsi="Times New Roman" w:cs="Times New Roman"/>
          <w:sz w:val="24"/>
          <w:szCs w:val="24"/>
          <w:lang w:eastAsia="ru-RU"/>
        </w:rPr>
        <w:t>/п) выше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начале 2019 года (0,30%).                  </w:t>
      </w:r>
    </w:p>
    <w:p w:rsidR="007C062A" w:rsidRPr="008D571B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среднеобластном уровне регистрируемой безработицы в начале </w:t>
      </w:r>
      <w:r w:rsidR="001F0F3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2019 года – 0,34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территориям этот п</w:t>
      </w:r>
      <w:r w:rsidR="001F0F3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имел значение: от 0,11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Ломоносовском муниципальном районе</w:t>
      </w:r>
      <w:r w:rsidR="001F0F3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0,99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7C062A" w:rsidRPr="008D571B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незначительного увеличения безработицы к концу 1 </w:t>
      </w:r>
      <w:r w:rsidR="00F152EC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наблюдалась в 1</w:t>
      </w:r>
      <w:r w:rsidR="00F152EC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районах. </w:t>
      </w:r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регистрируемой безработицы </w:t>
      </w:r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отмечено в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Тихвинском муниципальных районах. </w:t>
      </w:r>
      <w:proofErr w:type="gramStart"/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8010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8D571B">
        <w:t xml:space="preserve"> </w:t>
      </w:r>
      <w:proofErr w:type="spell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уровнь</w:t>
      </w:r>
      <w:proofErr w:type="spell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регистрируемой безработицы не изменился.</w:t>
      </w:r>
    </w:p>
    <w:p w:rsidR="007C062A" w:rsidRPr="008D571B" w:rsidRDefault="007C062A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280102" w:rsidRDefault="00280102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</w:t>
      </w:r>
      <w:r w:rsidR="007C06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Липецкой, Нижегородской, Ханты-Мансийском                          АО, Ленинградской области, Санкт-Петербурге и </w:t>
      </w:r>
      <w:proofErr w:type="spell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</w:t>
      </w:r>
      <w:r w:rsidR="005738A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значение           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0,4%, в г. Севастополе – 0,3%.</w:t>
      </w:r>
    </w:p>
    <w:p w:rsidR="00280102" w:rsidRDefault="00280102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2A" w:rsidRDefault="005738A3" w:rsidP="005738A3">
      <w:pPr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A3">
        <w:rPr>
          <w:noProof/>
          <w:sz w:val="24"/>
          <w:szCs w:val="24"/>
          <w:lang w:eastAsia="ru-RU"/>
        </w:rPr>
        <w:drawing>
          <wp:inline distT="0" distB="0" distL="0" distR="0" wp14:anchorId="0D5E1D1B" wp14:editId="6E8F3B52">
            <wp:extent cx="6762750" cy="4219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062A" w:rsidRDefault="007C062A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2019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полугодия 2019 года работодателями: 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заявлены 44482 «новые» вакансии;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41046 вакансий. </w:t>
      </w:r>
      <w:proofErr w:type="gramEnd"/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7463 вакансии (16,8%) предоставлены организациями муниципальной формы собственности;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9433 вакансии (21,2%) – государственной формы собственности;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27586 вакансий (62%) – других форм собственности.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июля 2019 года текущий спрос на рабочую силу составил 22751 единицу,                  что на 3436 вакансий больше, чем в начале 2019 года (19315 вакансий).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территориям заявленные вакансии распределились следующим образом: от 491 единицы (2,3% от текущего спроса на рабочую силу) </w:t>
      </w:r>
      <w:proofErr w:type="gramStart"/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4137 единиц (18,2%) во Всеволожском муниципальном районе.</w:t>
      </w:r>
    </w:p>
    <w:p w:rsidR="00D93BA6" w:rsidRPr="008D571B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93BA6" w:rsidRDefault="0097648B" w:rsidP="00D93B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F45384" wp14:editId="41423890">
            <wp:extent cx="6362700" cy="33909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3BA6" w:rsidRPr="004261F7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4E" w:rsidRPr="003E644E" w:rsidRDefault="003E644E" w:rsidP="003E644E">
      <w:pPr>
        <w:pStyle w:val="a3"/>
        <w:ind w:firstLine="709"/>
        <w:contextualSpacing/>
        <w:jc w:val="both"/>
        <w:rPr>
          <w:b w:val="0"/>
          <w:bCs w:val="0"/>
        </w:rPr>
      </w:pPr>
      <w:r w:rsidRPr="003E644E">
        <w:rPr>
          <w:b w:val="0"/>
          <w:bCs w:val="0"/>
        </w:rPr>
        <w:t>Из 22751 заявленной работодателями вакансии (текущий спрос) для трудоустройства рабочих предлагались 15896 вакансий (69,9%), для инженерно-технических работников</w:t>
      </w:r>
      <w:r>
        <w:rPr>
          <w:b w:val="0"/>
          <w:bCs w:val="0"/>
        </w:rPr>
        <w:t xml:space="preserve">                     </w:t>
      </w:r>
      <w:r w:rsidRPr="003E644E">
        <w:rPr>
          <w:b w:val="0"/>
          <w:bCs w:val="0"/>
        </w:rPr>
        <w:t xml:space="preserve"> и служащих – 6855 вакансий (30,1%).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4908 вакансий (21,6% от общего числа вакансий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22751 единицы), далее по видам экономической деятельности: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3224 вакансии (14,2%);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2744 вакансий (12,1%);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1711 вакансий (7,5%);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1540 вакансий (6,8%);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1453 вакансии (6,4%);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1251 вакансия (5,5%);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1186 вакансий (5,2%);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1124 вакансии (4,9%);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551 вакансия (2,4%);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520 вакансий (2,3%);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455 вакансий (2%);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407 вакансий (1,8%);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 – 390 вакансий (1,7%);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356 вакансий (1,6%);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333 вакансии (1,5%);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ликвидации загрязнений – 288 вакансий (1,2%);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по операциям с недвижимым имуществом – 241 вакансия (1%)</w:t>
      </w: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т.д.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8201 вакансия (36% от текущего спроса на рабочую силу). Предложение рабочей силы по этой группе профессий в 5,9 раза меньше. </w:t>
      </w:r>
    </w:p>
    <w:p w:rsidR="004261F7" w:rsidRPr="008D571B" w:rsidRDefault="004261F7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-12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3E644E" w:rsidRPr="003E644E" w:rsidTr="001E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водитель – 1459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продавец – 350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плотник – 179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слесарь – 1122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309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токарь – 146</w:t>
            </w:r>
          </w:p>
        </w:tc>
      </w:tr>
      <w:tr w:rsidR="003E644E" w:rsidRPr="003E644E" w:rsidTr="001E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швея – 1043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электрик, электромонтер – 271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118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оператор – 732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262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97</w:t>
            </w:r>
          </w:p>
        </w:tc>
      </w:tr>
      <w:tr w:rsidR="003E644E" w:rsidRPr="003E644E" w:rsidTr="001E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481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электромонтажник – 258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83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машинист – 432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– 220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сварщик – 31</w:t>
            </w:r>
          </w:p>
        </w:tc>
      </w:tr>
      <w:tr w:rsidR="003E644E" w:rsidRPr="003E644E" w:rsidTr="001E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монтажник – 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тракторист – 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03531" w:rsidRPr="008D571B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4459 вакансий (19,6% от текущего спроса на рабочую силу). Предложение рабочей силы по этой группе профессий в 5,6 раза меньше.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3E644E" w:rsidRPr="003E644E" w:rsidTr="001E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военнослужащий – 662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охранник – 205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бухгалтер – 77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640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кассир – 193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71</w:t>
            </w:r>
          </w:p>
        </w:tc>
      </w:tr>
      <w:tr w:rsidR="003E644E" w:rsidRPr="003E644E" w:rsidTr="001E1E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врач – 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фельдшер – 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47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педагог (преподаватель, учитель) – 418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полицейский (следователь) – 157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E644E" w:rsidRPr="003E644E" w:rsidRDefault="003E644E" w:rsidP="001E1EA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40</w:t>
            </w:r>
          </w:p>
        </w:tc>
      </w:tr>
      <w:tr w:rsidR="003E644E" w:rsidRPr="003E644E" w:rsidTr="001E1E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289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менеджер – 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31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агент – 288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108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E644E" w:rsidRPr="003E644E" w:rsidRDefault="003E644E" w:rsidP="001E1EA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26</w:t>
            </w:r>
          </w:p>
        </w:tc>
      </w:tr>
      <w:tr w:rsidR="003E644E" w:rsidRPr="003E644E" w:rsidTr="001E1EA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 – 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3925 вакансий (17,3% от текущего спроса на рабочую силу). Предложение рабочей силы по этой группе профессий в 6 раз меньше.</w:t>
      </w: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3E644E" w:rsidRPr="003E644E" w:rsidTr="001E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2012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уборщик – 522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монтер пути – 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E644E" w:rsidRPr="003E644E" w:rsidRDefault="003E644E" w:rsidP="001E1EAF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 – 24</w:t>
            </w:r>
          </w:p>
        </w:tc>
      </w:tr>
      <w:tr w:rsidR="003E644E" w:rsidRPr="003E644E" w:rsidTr="001E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стрелок – 471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кладовщик – 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сторож (вахтер) – 19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мойщик – 123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89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E644E" w:rsidRPr="003E644E" w:rsidRDefault="003E644E" w:rsidP="001E1EAF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10</w:t>
            </w:r>
          </w:p>
        </w:tc>
      </w:tr>
      <w:tr w:rsidR="003E644E" w:rsidRPr="003E644E" w:rsidTr="001E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обработчик –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горничная – 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почтальон – 5</w:t>
            </w:r>
          </w:p>
        </w:tc>
      </w:tr>
      <w:tr w:rsidR="003E644E" w:rsidRPr="003E644E" w:rsidTr="001E1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грузчик – 106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E644E" w:rsidRPr="003E644E" w:rsidRDefault="003E644E" w:rsidP="001E1EA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 – 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E644E" w:rsidRPr="003E644E" w:rsidRDefault="003E644E" w:rsidP="001E1EA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E644E" w:rsidRPr="003E644E" w:rsidTr="001E1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укладчик (упаковщик) –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E644E" w:rsidRPr="003E644E" w:rsidRDefault="003E644E" w:rsidP="001E1EA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E644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животновод –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3E644E" w:rsidRPr="003E644E" w:rsidRDefault="003E644E" w:rsidP="001E1EA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E644E" w:rsidRPr="003E644E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22751 вакансии:</w:t>
      </w:r>
    </w:p>
    <w:p w:rsidR="003E644E" w:rsidRPr="003E644E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2238 вакансий (9,8%) </w:t>
      </w:r>
      <w:proofErr w:type="gramStart"/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proofErr w:type="gramEnd"/>
      <w:r w:rsidRPr="003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5138 вакансий (22,6%) – государственные формы собственности                              и 15375 вакансий (67,6%) – другие формы собственности.</w:t>
      </w:r>
    </w:p>
    <w:p w:rsidR="00C03531" w:rsidRPr="003E644E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3531" w:rsidRPr="00E15DC4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C03531" w:rsidRPr="003575EB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03531" w:rsidRPr="008D571B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в 1 </w:t>
      </w:r>
      <w:r w:rsidR="0046572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2019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C03531" w:rsidRPr="008D571B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3467E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8148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03531" w:rsidRPr="008D571B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</w:t>
      </w:r>
      <w:r w:rsidR="003467E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ужбу занятости населения) – 55,8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3126B" w:rsidRPr="008D571B" w:rsidRDefault="00C03531" w:rsidP="00C03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8 филиалах</w:t>
      </w:r>
      <w:r w:rsidRPr="008D571B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8D571B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8D571B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  <w:proofErr w:type="gramStart"/>
      <w:r w:rsidR="003544A8" w:rsidRPr="008D571B">
        <w:rPr>
          <w:rFonts w:ascii="Times New Roman" w:eastAsia="Calibri" w:hAnsi="Times New Roman" w:cs="Times New Roman"/>
          <w:sz w:val="24"/>
          <w:szCs w:val="24"/>
        </w:rPr>
        <w:t>Ломоносовском</w:t>
      </w:r>
      <w:proofErr w:type="gramEnd"/>
      <w:r w:rsidR="003544A8" w:rsidRPr="008D571B">
        <w:rPr>
          <w:rFonts w:ascii="Times New Roman" w:eastAsia="Calibri" w:hAnsi="Times New Roman" w:cs="Times New Roman"/>
          <w:sz w:val="24"/>
          <w:szCs w:val="24"/>
        </w:rPr>
        <w:t xml:space="preserve"> (78,8%), Выборгском (74,5%), </w:t>
      </w:r>
      <w:proofErr w:type="spellStart"/>
      <w:r w:rsidR="003544A8" w:rsidRPr="008D571B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3544A8" w:rsidRPr="008D571B">
        <w:rPr>
          <w:rFonts w:ascii="Times New Roman" w:eastAsia="Calibri" w:hAnsi="Times New Roman" w:cs="Times New Roman"/>
          <w:sz w:val="24"/>
          <w:szCs w:val="24"/>
        </w:rPr>
        <w:t xml:space="preserve"> (63%), Кировском (66,6%), </w:t>
      </w:r>
      <w:proofErr w:type="spellStart"/>
      <w:r w:rsidR="003544A8" w:rsidRPr="008D571B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3544A8" w:rsidRPr="008D571B">
        <w:rPr>
          <w:rFonts w:ascii="Times New Roman" w:eastAsia="Calibri" w:hAnsi="Times New Roman" w:cs="Times New Roman"/>
          <w:sz w:val="24"/>
          <w:szCs w:val="24"/>
        </w:rPr>
        <w:t xml:space="preserve"> (60,8%), Приозерском (76,7%), Сосновоборском (63,1%), </w:t>
      </w:r>
      <w:proofErr w:type="spellStart"/>
      <w:r w:rsidR="003544A8" w:rsidRPr="008D571B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="003544A8" w:rsidRPr="008D571B">
        <w:rPr>
          <w:rFonts w:ascii="Times New Roman" w:eastAsia="Calibri" w:hAnsi="Times New Roman" w:cs="Times New Roman"/>
          <w:sz w:val="24"/>
          <w:szCs w:val="24"/>
        </w:rPr>
        <w:t xml:space="preserve"> (59,1).</w:t>
      </w:r>
    </w:p>
    <w:p w:rsidR="00C03531" w:rsidRPr="008D571B" w:rsidRDefault="00115516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Calibri" w:hAnsi="Times New Roman" w:cs="Times New Roman"/>
          <w:sz w:val="24"/>
          <w:szCs w:val="24"/>
        </w:rPr>
        <w:t>Важно, что 77,1</w:t>
      </w:r>
      <w:r w:rsidR="00C03531" w:rsidRPr="008D571B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:rsidR="00C03531" w:rsidRPr="008D571B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трудоустроенных граждан:</w:t>
      </w:r>
    </w:p>
    <w:p w:rsidR="00C03531" w:rsidRPr="008D571B" w:rsidRDefault="00840E8A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4072 женщины (50</w:t>
      </w:r>
      <w:r w:rsidR="00C0353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3531" w:rsidRPr="008D571B" w:rsidRDefault="00840E8A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1054</w:t>
      </w:r>
      <w:r w:rsidR="00C0353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353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одежь в возрасте 14-29 лет (12,9</w:t>
      </w:r>
      <w:r w:rsidR="00C0353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3531" w:rsidRPr="008D571B" w:rsidRDefault="00840E8A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669 человек</w:t>
      </w:r>
      <w:r w:rsidR="00C0353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родителей имеющих, несовершеннолет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детей (8,2</w:t>
      </w:r>
      <w:r w:rsidR="00C0353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3531" w:rsidRPr="008D571B" w:rsidRDefault="00840E8A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139 инвалидов (4</w:t>
      </w:r>
      <w:r w:rsidR="00C03531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93BA6" w:rsidRPr="00876E92" w:rsidRDefault="00C03531" w:rsidP="00876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122 граждани</w:t>
      </w:r>
      <w:r w:rsidR="00840E8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40E8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840E8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(3,9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644E02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ающие трудности в поиске работы</w:t>
      </w:r>
    </w:p>
    <w:p w:rsidR="003F32EB" w:rsidRPr="008D571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работы трудоустроено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испытывающих трудности в поиске работы, из них: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граждан, освобожденны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свободы;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предпенсионного возраста; </w:t>
      </w:r>
      <w:r w:rsidR="009013D7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несовершеннолетних детей. </w:t>
      </w:r>
    </w:p>
    <w:p w:rsidR="003F32EB" w:rsidRPr="008D571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0865B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F32EB" w:rsidRPr="00604C58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644E02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ане в возрасте от 14 до 18 лет </w:t>
      </w:r>
    </w:p>
    <w:p w:rsidR="003F32EB" w:rsidRPr="008D571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4139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                    от 14 до 18 лет в свободное от учебы время, в том числе:</w:t>
      </w:r>
    </w:p>
    <w:p w:rsidR="003F32EB" w:rsidRPr="008D571B" w:rsidRDefault="0087106E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02F7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3F32EB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1F02F7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3F32EB" w:rsidRPr="008D571B" w:rsidRDefault="0087106E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145</w:t>
      </w:r>
      <w:r w:rsidR="001F02F7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32EB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1F02F7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:rsidR="003F32EB" w:rsidRPr="008D571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занимались благоустройством территорий предприятий (организаций) 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населённых пунктов, </w:t>
      </w:r>
      <w:r w:rsidR="0087106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организации культурно-массовых мероприятий, работали с библи</w:t>
      </w:r>
      <w:r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7106E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течными фондами, о</w:t>
      </w:r>
      <w:r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казывали социальную помощь на дому гражданам пожилого возраста, ветеранам и участникам Великой Отечественной войны.</w:t>
      </w:r>
    </w:p>
    <w:p w:rsidR="003F32EB" w:rsidRPr="00604C58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644E02" w:rsidRDefault="00644E02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3F32EB" w:rsidRPr="008D571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2E7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4C5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3F32EB" w:rsidRPr="008D571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723194" w:rsidRPr="008D571B" w:rsidRDefault="00604C58" w:rsidP="0090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3F32E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3F32E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3F32E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32E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впервые ищущие работу, из них: </w:t>
      </w:r>
      <w:r w:rsidR="00701F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2E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:rsidR="009E27A8" w:rsidRPr="00E10188" w:rsidRDefault="009E27A8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AB4A3D" w:rsidRDefault="00AB4A3D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</w:t>
      </w:r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сть</w:t>
      </w:r>
      <w:proofErr w:type="spellEnd"/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644E02" w:rsidRPr="00E10188" w:rsidRDefault="00644E02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1C145D" w:rsidRPr="008D571B" w:rsidRDefault="006B0CCE" w:rsidP="001C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занятости продолжается работа по поддержке предпринимательской инициативы безработных граждан. Специалисты биржи труда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C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642C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145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1C145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предпринимательс</w:t>
      </w:r>
      <w:r w:rsidR="004929A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1C145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1C145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возможностях открытия собственного дела и о мерах поддержки начинающих предпринимателей в Ленинградской области.</w:t>
      </w:r>
    </w:p>
    <w:p w:rsidR="00AB4A3D" w:rsidRPr="008D571B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FD8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</w:t>
      </w:r>
      <w:r w:rsidR="00971060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полугодии</w:t>
      </w:r>
      <w:r w:rsidR="00551FD8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536C3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51FD8" w:rsidRPr="008D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8D571B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</w:t>
      </w:r>
      <w:r w:rsidR="009F473C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по содействию самозанятости </w:t>
      </w:r>
      <w:r w:rsidR="0097106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8D571B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собственное дело после получения госуслуги по содействию самозанятости</w:t>
      </w:r>
      <w:r w:rsidR="000E6F2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060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536C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="00CF3BB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30,9</w:t>
      </w:r>
      <w:r w:rsidR="007536C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всех получивших госуслугу)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3BB4" w:rsidRPr="008D571B" w:rsidRDefault="00AB4A3D" w:rsidP="00CF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финансовая помощь при государственной регистрации</w:t>
      </w:r>
      <w:r w:rsidR="003B7E6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B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AD56D5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безработному гражданину</w:t>
      </w:r>
      <w:r w:rsidR="00CF3BB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9 из них получили дополнительно финансовую помощь на создание 16 рабочих мест для трудоустройства безработных, состоящих на учете в службе занятости</w:t>
      </w:r>
      <w:r w:rsidR="0048099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BB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A3D" w:rsidRPr="008D571B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CF3BB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6642C0" w:rsidRPr="00E10188" w:rsidRDefault="006642C0" w:rsidP="006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8D571B" w:rsidRDefault="00F8699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604C5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05127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5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6588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5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4C5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4C5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C5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8D571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Молодые граждане получили комплекс госуслуг:</w:t>
      </w:r>
    </w:p>
    <w:p w:rsidR="00AB4A3D" w:rsidRPr="008D571B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</w:t>
      </w:r>
      <w:r w:rsidR="0091051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12113 </w:t>
      </w:r>
      <w:r w:rsidR="00C86AF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8D571B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DB00F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699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8D571B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91051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8D571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91051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A5A6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8D571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87531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B4AE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:rsidR="00B878D2" w:rsidRPr="008D571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4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5F113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8D571B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466">
        <w:rPr>
          <w:rFonts w:ascii="Times New Roman" w:eastAsia="Times New Roman" w:hAnsi="Times New Roman" w:cs="Times New Roman"/>
          <w:sz w:val="24"/>
          <w:szCs w:val="24"/>
          <w:lang w:eastAsia="ru-RU"/>
        </w:rPr>
        <w:t>1811 школьников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596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46596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465962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E68D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:rsidR="000742F4" w:rsidRPr="008D571B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proofErr w:type="spellStart"/>
      <w:r w:rsidR="001C586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оласти</w:t>
      </w:r>
      <w:proofErr w:type="spellEnd"/>
      <w:r w:rsidR="001C586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D3" w:rsidRPr="008D571B" w:rsidRDefault="003677D3" w:rsidP="0036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организаций Ленинградской области,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организующих временное трудоустройство подростков, комитет в 2019 году предоставляет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субсидий государственным (муниципальным) бюджетным и автономным учреждениям Ленинградской области, организующим временное трудоустройство несовершеннолетних граждан в свободное 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учебы время.  Грант используется учреждением на оплату труда временно трудоустроенных подростков по направлению службы занятости. </w:t>
      </w:r>
    </w:p>
    <w:p w:rsidR="003677D3" w:rsidRPr="008D571B" w:rsidRDefault="003677D3" w:rsidP="0036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73 учреждения </w:t>
      </w:r>
      <w:proofErr w:type="gramStart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получателями грантов </w:t>
      </w:r>
      <w:r w:rsid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заключили</w:t>
      </w:r>
      <w:proofErr w:type="gramEnd"/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 комитетом на предоставление грантов на общую сумму более 23 млн. руб. на трудоустройство более 3,5 тыс. </w:t>
      </w:r>
      <w:r w:rsidR="00AD56D5"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Pr="008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2C4" w:rsidRPr="005872DE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4E02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04101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D62E7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52B4B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52B4B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644E0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669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родители, имеющие детей-инвалидов –  </w:t>
      </w:r>
      <w:r w:rsid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человек.</w:t>
      </w:r>
      <w:proofErr w:type="gramEnd"/>
    </w:p>
    <w:p w:rsidR="006E3551" w:rsidRPr="00644E02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004AA4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E4B7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04AA4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862AA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644E0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2D4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282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="00E04101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3C248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E10188" w:rsidRDefault="00AB4A3D" w:rsidP="00E1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04101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5654B7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B3F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336BEC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3345A9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6BEC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</w:t>
      </w:r>
      <w:r w:rsid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в поиске подходящей работы).</w:t>
      </w:r>
    </w:p>
    <w:p w:rsidR="001667D4" w:rsidRDefault="001667D4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1667D4" w:rsidRDefault="001667D4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Default="001667D4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 </w:t>
      </w:r>
      <w:r w:rsidR="00644E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644E02" w:rsidRPr="005872DE" w:rsidRDefault="00644E02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AB4A3D" w:rsidRPr="00644E02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A645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10241C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A19BA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DA645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934 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AD56D5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DA645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645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644E02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DA645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326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094635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34,9</w:t>
      </w:r>
      <w:r w:rsidR="00AB4A3D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644E0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A645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06C98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8B5877"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440</w:t>
      </w: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:rsidR="00AB4A3D" w:rsidRPr="00644E02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:rsidR="00DD7C71" w:rsidRPr="005872D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91051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839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или </w:t>
      </w:r>
      <w:r w:rsid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4,6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5872D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безработных граждан –</w:t>
      </w:r>
      <w:r w:rsidR="0091051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145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или </w:t>
      </w:r>
      <w:r w:rsidR="00AD56D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19,1</w:t>
      </w:r>
      <w:r w:rsidR="0049044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AD56D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051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108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                          или </w:t>
      </w:r>
      <w:r w:rsidR="00AD56D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15,5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5872D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336BE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A4241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36BE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4,8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5872D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651029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651029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E4D8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51029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5872DE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3E69F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0F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9F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DB00F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3E69F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относящих</w:t>
      </w:r>
      <w:r w:rsidR="00F862A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</w:t>
      </w:r>
      <w:r w:rsidR="009E27A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составило </w:t>
      </w:r>
      <w:r w:rsidR="00DB00F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9,2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D56D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B00F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незанятых инвалидов</w:t>
      </w:r>
      <w:r w:rsidR="0006349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496" w:rsidRPr="005872DE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F54BAB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31 профессии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4BAB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кладовщик, маникюрша, машинист экскаватора, оператор котельной, оператор стиральных машин, оператор товарный, оператор электронно-вычислительных и вычислительных машин, охранник, парикмахер, повар, педагог профессионального обучения, специалист по кадрам</w:t>
      </w:r>
      <w:r w:rsidR="00F54BAB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специалист, «Управление государственными и муниципальными закупками»</w:t>
      </w:r>
      <w:r w:rsidR="00F862AA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AB4A3D" w:rsidRPr="005872D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9E27A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0C6C70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</w:t>
      </w:r>
      <w:r w:rsidR="00336BE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336BE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46,8</w:t>
      </w:r>
      <w:r w:rsidR="000C6C70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5872D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49791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7137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B94A7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:rsidR="00AB4A3D" w:rsidRPr="005872D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5872DE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D658D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0D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9B5A6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5306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0D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 рабочее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 w:rsidR="00C050D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E2AF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5872DE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 в дополнительной поддержке», в части содействия занятости инвалидов, понимается компенсация расходов работодателей на выплату заработной платы труд</w:t>
      </w:r>
      <w:r w:rsidR="00B5306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C050D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C050D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4B5D5E" w:rsidRPr="004B5D5E" w:rsidRDefault="004B5D5E" w:rsidP="004B5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Ежемесячный размер возмещения затрат работодателя на выплату заработной платы трудоустроенного </w:t>
      </w:r>
      <w:proofErr w:type="spellStart"/>
      <w:proofErr w:type="gramStart"/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трудоустроенного</w:t>
      </w:r>
      <w:proofErr w:type="spellEnd"/>
      <w:proofErr w:type="gramEnd"/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инвалида равен 50% от фактических затрат работодателя на </w:t>
      </w:r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выплату заработной платы, но не более размера минимальной заработной платы в регионе, увеличенного на сумму страховых взносов в государственные внебюджетные фонды.</w:t>
      </w:r>
    </w:p>
    <w:p w:rsidR="004B5D5E" w:rsidRPr="004B5D5E" w:rsidRDefault="004B5D5E" w:rsidP="004B5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Ежемесячный размер возмещения затрат работодателя на доплату за наставничество сотруднику работодателя, на которого возлагаются обязанности по контролю за осуществлением трудоустроенным инвалидом трудовой деятельности, оказанию помощи в исполнении инвалидом его функциональных обязанностей, а также в получении им необходимых профессиональных навыков, равен фактическим затратам работодателя, но не более размера минимальной заработной платы, установленного региональным соглашением о минимальной заработной плате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Ленинградской области</w:t>
      </w:r>
      <w:proofErr w:type="gramEnd"/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увеличенного</w:t>
      </w:r>
      <w:proofErr w:type="gramEnd"/>
      <w:r w:rsidRPr="004B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страховых взносов в государственные внебюджетные фонды.</w:t>
      </w:r>
    </w:p>
    <w:p w:rsidR="000742F4" w:rsidRPr="005872DE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5872DE" w:rsidRPr="00E10188" w:rsidRDefault="00331E39" w:rsidP="00E1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0D3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9B5A6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5306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09463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5872DE" w:rsidRDefault="005872DE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77446F" w:rsidRPr="005872DE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B34E42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4310</w:t>
      </w:r>
      <w:r w:rsidR="0043413F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жителей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2426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(56,3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5872D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A83BE9" w:rsidRPr="005872D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5872D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профессиональной ориентации –</w:t>
      </w:r>
      <w:r w:rsidR="00910513"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5636 </w:t>
      </w: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5872D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психологической поддержке –</w:t>
      </w:r>
      <w:r w:rsidR="002D0B88"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186 </w:t>
      </w: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человек;</w:t>
      </w:r>
    </w:p>
    <w:p w:rsidR="0077446F" w:rsidRPr="005872D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F54BAB"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208</w:t>
      </w:r>
      <w:r w:rsidR="00F862AA"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5872D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социальной адаптации –</w:t>
      </w:r>
      <w:r w:rsidR="002D0B88"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165 </w:t>
      </w: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5872DE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содействию самозанятости – </w:t>
      </w:r>
      <w:r w:rsidR="00651029"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53</w:t>
      </w: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651029"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77446F" w:rsidRPr="005872D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информирования населения о ситуации с занятостью специалисты службы занятости выезжали в сельские поселения, проводили </w:t>
      </w:r>
      <w:r w:rsidR="00527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жителями, в том числе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527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школьниками и студентами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осуществляли приемы граждан, ищущих работу.</w:t>
      </w:r>
    </w:p>
    <w:p w:rsidR="0077446F" w:rsidRPr="005872D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5872D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5872D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3413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5872DE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1124</w:t>
      </w:r>
      <w:r w:rsidRPr="00587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 агропромышленного комплекса (4,</w:t>
      </w:r>
      <w:r w:rsidR="0043413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5872DE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1128</w:t>
      </w:r>
      <w:r w:rsidR="0078327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248</w:t>
      </w:r>
      <w:r w:rsidR="004F585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4E4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201</w:t>
      </w:r>
      <w:r w:rsidR="00796B89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7C477D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5872DE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AA7E9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36BE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6BE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освобожденных из учреждений, исполняющих наказание в виде лишения свободы</w:t>
      </w:r>
      <w:r w:rsidR="00AD56D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D56D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Трудоустроено 28 человек (с</w:t>
      </w:r>
      <w:r w:rsidR="00AA7E9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редняя эффективность трудоустройства составила 2</w:t>
      </w:r>
      <w:r w:rsidR="00336BE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7,2</w:t>
      </w:r>
      <w:r w:rsidR="00AA7E9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D56D5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7E9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5872DE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5872DE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трудоустройства</w:t>
      </w:r>
      <w:r w:rsidR="00DD7C7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D513D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660D3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A1D4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660D3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5872DE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лишения свободы, получили госу</w:t>
      </w:r>
      <w:r w:rsidR="00536B3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B4C0B" w:rsidRPr="005872DE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2D0B8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69 </w:t>
      </w:r>
      <w:r w:rsidR="008C6C36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5872DE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–</w:t>
      </w:r>
      <w:r w:rsidR="002D0B8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:rsidR="005B4C0B" w:rsidRPr="005872DE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циальной адаптации –</w:t>
      </w:r>
      <w:r w:rsidR="002D0B8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</w:t>
      </w:r>
      <w:r w:rsidR="002A507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:rsidR="005B4C0B" w:rsidRPr="005872DE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255C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5872DE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5872D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полугодии</w:t>
      </w:r>
      <w:r w:rsidR="001255C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1666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143B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55454E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посетили исправительн</w:t>
      </w:r>
      <w:r w:rsidR="006143B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255C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5872DE" w:rsidRDefault="00660D32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271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ину</w:t>
      </w:r>
      <w:r w:rsidR="00DD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подлежащему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освобождению,</w:t>
      </w:r>
      <w:r w:rsidR="00DD7C7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предоставляемых службой занятости госуслугах.</w:t>
      </w:r>
      <w:proofErr w:type="gramEnd"/>
    </w:p>
    <w:p w:rsidR="0066151F" w:rsidRPr="005872DE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</w:t>
      </w:r>
      <w:r w:rsidR="00DD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</w:t>
      </w:r>
      <w:r w:rsidR="00D513DC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</w:t>
      </w:r>
      <w:r w:rsidR="00DD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55454E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465962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0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4C0B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587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0F4525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2603" w:rsidRPr="005872DE" w:rsidRDefault="00842603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2019 года приступили к профессиональному обучению и дополнительному профессиональному образованию (далее – профессиональное обучение) по</w:t>
      </w:r>
      <w:r w:rsidR="00AD56D5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службы занятости 1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человек, в том числе: 786 безработных граждан; 178 женщин в период отпуска по уходу за ребенком до достижения им возраста трёх лет (далее – женщины); 72 незанятых гражданина,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 (далее – пенсионеры), 5 незанятых инвалидов, обратившихся в службу занятости за содействием в поиске подходящей работы, 109 граждан </w:t>
      </w:r>
      <w:proofErr w:type="spellStart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рамках</w:t>
      </w:r>
      <w:r w:rsidR="0015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проекта </w:t>
      </w:r>
      <w:r w:rsidR="001511F6"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«Старшее поколение»</w:t>
      </w:r>
      <w:r w:rsidR="0015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1511F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«Демография»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03" w:rsidRPr="005872DE" w:rsidRDefault="00842603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граждан осуществлялось по 51 профессии (направлению подготовки), имеющим спрос на рынке труда региона: водитель погрузчика, водитель автотранспортного средства (различные категории), менеджер по персоналу, специалист по </w:t>
      </w:r>
      <w:proofErr w:type="spellStart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воспитатель, охранник, парикмахер, повар, складской учет на ПК, бухгалтер, </w:t>
      </w:r>
      <w:proofErr w:type="spellStart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электромонтер, слесарь-ремонтник и др.</w:t>
      </w:r>
      <w:proofErr w:type="gramEnd"/>
    </w:p>
    <w:p w:rsidR="00842603" w:rsidRPr="005872DE" w:rsidRDefault="00842603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безработных граждан, направленных на обучение по рабочим профессиям, составила – 60,4%.</w:t>
      </w:r>
    </w:p>
    <w:p w:rsidR="00842603" w:rsidRPr="005872DE" w:rsidRDefault="00842603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женщин осуществлялось под конкретные рабочие места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24 наименованиям профессий (образовательных программ): бухгалтер, «Теория и методика дошкольного образования» (воспитатель), «Складской учет на ПК», парикмахер, повар, педагог профессионального образования, специалист по государственным и муниципальным закупкам, специалист по кадрам и другие.</w:t>
      </w:r>
    </w:p>
    <w:p w:rsidR="00842603" w:rsidRPr="005872DE" w:rsidRDefault="00842603" w:rsidP="0084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пенсионеров и незанятых инвалидов осуществлялось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 профессиям (направлениям подготовки), пользующимся спросом на рынке труда региона: охранник, оператор котельной,  бухгалтер, водитель погрузчика, повар, портной, специалист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87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кадрам, делопроизводитель и др.</w:t>
      </w:r>
    </w:p>
    <w:p w:rsidR="00C80AC7" w:rsidRPr="00E10188" w:rsidRDefault="00C80AC7" w:rsidP="00C80AC7">
      <w:pPr>
        <w:pStyle w:val="a3"/>
        <w:tabs>
          <w:tab w:val="left" w:pos="0"/>
          <w:tab w:val="left" w:pos="567"/>
        </w:tabs>
        <w:jc w:val="both"/>
        <w:rPr>
          <w:b w:val="0"/>
          <w:bCs w:val="0"/>
        </w:rPr>
      </w:pPr>
      <w:r w:rsidRPr="00E10188">
        <w:rPr>
          <w:b w:val="0"/>
          <w:bCs w:val="0"/>
        </w:rPr>
        <w:lastRenderedPageBreak/>
        <w:tab/>
        <w:t xml:space="preserve">В рамках регионального проекта «Старшее поколение» национального проекта «Демография» заключено 33 договора с работодателями по обучению работников предпенсионного возраста. </w:t>
      </w:r>
    </w:p>
    <w:p w:rsidR="00C80AC7" w:rsidRPr="00E10188" w:rsidRDefault="00C80AC7" w:rsidP="00C80AC7">
      <w:pPr>
        <w:pStyle w:val="ae"/>
        <w:spacing w:before="0" w:beforeAutospacing="0" w:after="0" w:afterAutospacing="0"/>
        <w:ind w:firstLine="567"/>
        <w:jc w:val="both"/>
      </w:pPr>
      <w:r w:rsidRPr="00E10188">
        <w:t xml:space="preserve">Разработаны модули, предусматривающие возможность получения гражданами предпенсионного возраста дополнительных компетенций по бережливому производству, охране труда, наставничеству и т.д. Программы корректируются с учетом заявок граждан </w:t>
      </w:r>
      <w:r w:rsidR="00E10188">
        <w:t xml:space="preserve">                                    </w:t>
      </w:r>
      <w:r w:rsidRPr="00E10188">
        <w:t xml:space="preserve">и работодателей. </w:t>
      </w:r>
    </w:p>
    <w:p w:rsidR="00C80AC7" w:rsidRPr="00E10188" w:rsidRDefault="00C80AC7" w:rsidP="00C80AC7">
      <w:pPr>
        <w:pStyle w:val="ae"/>
        <w:spacing w:before="0" w:beforeAutospacing="0" w:after="0" w:afterAutospacing="0"/>
        <w:ind w:firstLine="567"/>
        <w:jc w:val="both"/>
      </w:pPr>
      <w:r w:rsidRPr="00E10188">
        <w:t xml:space="preserve">Направлено на профессиональное обучение и дополнительное профессиональное образование 109 предпенсионеров, из них 15 человек закончили обучение. Обучение осуществляется в 5 образовательных организациях, имеющих лицензию на осуществление образовательной деятельности. </w:t>
      </w:r>
    </w:p>
    <w:p w:rsidR="00C80AC7" w:rsidRPr="00E10188" w:rsidRDefault="00C80AC7" w:rsidP="00C80AC7">
      <w:pPr>
        <w:pStyle w:val="ae"/>
        <w:spacing w:before="0" w:beforeAutospacing="0" w:after="0" w:afterAutospacing="0"/>
        <w:ind w:firstLine="567"/>
        <w:jc w:val="both"/>
      </w:pPr>
      <w:r w:rsidRPr="00E10188">
        <w:t>При организации обучения предпенсионеров широко используются как обычные технологии обучения с отрывом и без отрыва от производства, так и технологии дистанционного обучения.</w:t>
      </w:r>
    </w:p>
    <w:p w:rsidR="00BB5B87" w:rsidRPr="00E10188" w:rsidRDefault="00C80AC7" w:rsidP="00AD56D5">
      <w:pPr>
        <w:pStyle w:val="ae"/>
        <w:spacing w:before="0" w:beforeAutospacing="0" w:after="0" w:afterAutospacing="0"/>
        <w:ind w:firstLine="567"/>
        <w:jc w:val="both"/>
      </w:pPr>
      <w:proofErr w:type="gramStart"/>
      <w:r w:rsidRPr="00E10188">
        <w:t xml:space="preserve">Предпенсионеры повышают квалификацию, проходят переподготовку, профессиональное обучение по программам переподготовки, </w:t>
      </w:r>
      <w:proofErr w:type="spellStart"/>
      <w:r w:rsidRPr="00E10188">
        <w:t>профессиональногообучения</w:t>
      </w:r>
      <w:proofErr w:type="spellEnd"/>
      <w:r w:rsidRPr="00E10188">
        <w:t xml:space="preserve"> и повышения квалификации: развитие профессиональных компетенций в IT технологиях и безопасность жизнедеятельности с учетом требований современной производственной среды, водитель погрузчика, маляр, слесарь механосборочных работ, стропальщик, электрогазосварщик, менеджмент в управлении персоналом, 1С-бухгалтерия, делопроизводство и кадры, управление гос. и </w:t>
      </w:r>
      <w:proofErr w:type="spellStart"/>
      <w:r w:rsidRPr="00E10188">
        <w:t>муниц</w:t>
      </w:r>
      <w:proofErr w:type="spellEnd"/>
      <w:r w:rsidRPr="00E10188">
        <w:t>. закупкам, теория и методика дошкольного образования и другие.</w:t>
      </w:r>
      <w:r w:rsidR="00AD56D5" w:rsidRPr="00E10188">
        <w:t xml:space="preserve"> </w:t>
      </w:r>
      <w:proofErr w:type="gramEnd"/>
    </w:p>
    <w:p w:rsidR="003C792C" w:rsidRPr="00E10188" w:rsidRDefault="003E644E" w:rsidP="0024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2019 года осуществлялось опережающее обучение работников предприятий                     и организаций Ленинградской области, н</w:t>
      </w:r>
      <w:r w:rsidR="003C792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опережающее обучение направлено 196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C792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2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792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предприятиями Ленинградской области: ОАО </w:t>
      </w:r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C792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-Лужский Контейнерный терминал», А</w:t>
      </w:r>
      <w:proofErr w:type="gramStart"/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proofErr w:type="gramEnd"/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ТВСЗ», АО «</w:t>
      </w:r>
      <w:proofErr w:type="spellStart"/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ТихвинХимМаш</w:t>
      </w:r>
      <w:proofErr w:type="spellEnd"/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92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«БЭМП», АО «</w:t>
      </w:r>
      <w:proofErr w:type="spellStart"/>
      <w:r w:rsidR="003C792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цемент», ООО «Сланцы».</w:t>
      </w:r>
    </w:p>
    <w:p w:rsidR="003C792C" w:rsidRPr="00E10188" w:rsidRDefault="003C792C" w:rsidP="0024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профессиональной переподготовки обучается 47 человек, повышают квалификацию 149 человек. </w:t>
      </w:r>
    </w:p>
    <w:p w:rsidR="00BB5B87" w:rsidRPr="00BB5B87" w:rsidRDefault="00BB5B87" w:rsidP="00BB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по следующим  по профессиям (специальностям), направлениям подготовки: промышленная безопасность современного предприятия, водитель погрузчика, газорезчик, диспетчер, мастер участка, машинист (автовышки и автогидроподъемника, компрессорных установок, крана (крановщик), насосных установок, паровых турбин, сырьевых мельниц), монтер пути, оператор (газораспределительной станции, опытно-промышленной станции, товарный, тяговой маневровой электрической лебедки), сварщик, слесарь (механосборочных работ, по контрольно-измерительным приборам и автоматике, по ремонту котельного оборудования, слесарь-ремонтник по обслуживанию и ремонту оборудования), стропальщик, специалист по управлению персоналом производственного предприятия (экономический, правовой и психологической аспекты),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футеровщик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-каменщик, электромонтер (по ремонту аппаратуры релейной защиты и автоматике, по ремонту и обслуживанию электрооборудования).</w:t>
      </w:r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Default="00AB4A3D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</w:t>
      </w:r>
      <w:r w:rsidR="00E101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ция и психологическая поддержка</w:t>
      </w:r>
    </w:p>
    <w:p w:rsidR="00E10188" w:rsidRPr="00E10188" w:rsidRDefault="00E10188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AB4A3D" w:rsidRPr="00E10188" w:rsidRDefault="00A47BC4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 xml:space="preserve">В 1 полугодии </w:t>
      </w:r>
      <w:r w:rsidR="00D17137" w:rsidRPr="00E10188">
        <w:rPr>
          <w:rFonts w:ascii="Times New Roman" w:eastAsia="Calibri" w:hAnsi="Times New Roman" w:cs="Times New Roman"/>
          <w:sz w:val="24"/>
          <w:szCs w:val="24"/>
        </w:rPr>
        <w:t>2019</w:t>
      </w:r>
      <w:r w:rsidR="00075466" w:rsidRPr="00E10188">
        <w:rPr>
          <w:rFonts w:ascii="Times New Roman" w:eastAsia="Calibri" w:hAnsi="Times New Roman" w:cs="Times New Roman"/>
          <w:sz w:val="24"/>
          <w:szCs w:val="24"/>
        </w:rPr>
        <w:t xml:space="preserve"> года г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E10188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>18176</w:t>
      </w:r>
      <w:r w:rsidR="00756E81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3F" w:rsidRPr="00E10188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E10188">
        <w:rPr>
          <w:rFonts w:ascii="Times New Roman" w:eastAsia="Calibri" w:hAnsi="Times New Roman" w:cs="Times New Roman"/>
          <w:sz w:val="24"/>
          <w:szCs w:val="24"/>
        </w:rPr>
        <w:t>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 xml:space="preserve"> (далее – профориентационная </w:t>
      </w:r>
      <w:r w:rsidR="00AB4A3D" w:rsidRPr="00E10188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Pr="00E10188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>в возрасте 14-29 лет –</w:t>
      </w:r>
      <w:r w:rsidR="00756E81" w:rsidRPr="00E101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 xml:space="preserve">12113 </w:t>
      </w:r>
      <w:r w:rsidR="00445A32" w:rsidRPr="00E10188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A24EB6" w:rsidRPr="00E10188">
        <w:rPr>
          <w:rFonts w:ascii="Times New Roman" w:eastAsia="Calibri" w:hAnsi="Times New Roman" w:cs="Times New Roman"/>
          <w:sz w:val="24"/>
          <w:szCs w:val="24"/>
        </w:rPr>
        <w:t>у</w:t>
      </w:r>
      <w:r w:rsidRPr="00E10188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E10188" w:rsidRDefault="004D5907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E10188">
        <w:rPr>
          <w:rFonts w:ascii="Times New Roman" w:eastAsia="Calibri" w:hAnsi="Times New Roman" w:cs="Times New Roman"/>
          <w:sz w:val="24"/>
          <w:szCs w:val="24"/>
        </w:rPr>
        <w:t>–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 xml:space="preserve"> 3428 профориентационных</w:t>
      </w:r>
      <w:r w:rsidR="00445A32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E10188">
        <w:rPr>
          <w:rFonts w:ascii="Times New Roman" w:eastAsia="Calibri" w:hAnsi="Times New Roman" w:cs="Times New Roman"/>
          <w:sz w:val="24"/>
          <w:szCs w:val="24"/>
        </w:rPr>
        <w:t>услуг;</w:t>
      </w:r>
    </w:p>
    <w:p w:rsidR="00AF028F" w:rsidRPr="00E10188" w:rsidRDefault="00A24EB6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E10188">
        <w:rPr>
          <w:rFonts w:ascii="Times New Roman" w:eastAsia="Calibri" w:hAnsi="Times New Roman" w:cs="Times New Roman"/>
          <w:sz w:val="24"/>
          <w:szCs w:val="24"/>
        </w:rPr>
        <w:t>–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 xml:space="preserve"> 1023 </w:t>
      </w:r>
      <w:r w:rsidR="0034772D" w:rsidRPr="00E10188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A01719" w:rsidRPr="00E10188">
        <w:rPr>
          <w:rFonts w:ascii="Times New Roman" w:eastAsia="Calibri" w:hAnsi="Times New Roman" w:cs="Times New Roman"/>
          <w:sz w:val="24"/>
          <w:szCs w:val="24"/>
        </w:rPr>
        <w:t>е</w:t>
      </w:r>
      <w:r w:rsidR="00445A32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188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E10188">
        <w:rPr>
          <w:rFonts w:ascii="Times New Roman" w:eastAsia="Calibri" w:hAnsi="Times New Roman" w:cs="Times New Roman"/>
          <w:sz w:val="24"/>
          <w:szCs w:val="24"/>
        </w:rPr>
        <w:t>слуг</w:t>
      </w:r>
      <w:r w:rsidR="00A01719" w:rsidRPr="00E10188">
        <w:rPr>
          <w:rFonts w:ascii="Times New Roman" w:eastAsia="Calibri" w:hAnsi="Times New Roman" w:cs="Times New Roman"/>
          <w:sz w:val="24"/>
          <w:szCs w:val="24"/>
        </w:rPr>
        <w:t>и</w:t>
      </w:r>
      <w:r w:rsidR="00AF028F" w:rsidRPr="00E101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lastRenderedPageBreak/>
        <w:t>граждане, стремящиеся возобновить трудовую деятельность после длительного (</w:t>
      </w:r>
      <w:r w:rsidR="005025BB" w:rsidRPr="00E10188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 xml:space="preserve"> 1450 профориентационных</w:t>
      </w:r>
      <w:r w:rsidR="00445A32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10188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12F5D" w:rsidRPr="00E101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E10188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E10188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 xml:space="preserve"> 839 </w:t>
      </w:r>
      <w:r w:rsidR="00445A32" w:rsidRPr="00E10188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312F5D" w:rsidRPr="00E10188">
        <w:rPr>
          <w:rFonts w:ascii="Times New Roman" w:eastAsia="Calibri" w:hAnsi="Times New Roman" w:cs="Times New Roman"/>
          <w:sz w:val="24"/>
          <w:szCs w:val="24"/>
        </w:rPr>
        <w:t>у</w:t>
      </w:r>
      <w:r w:rsidRPr="00E10188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>граждане пр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>едпенсионного возраста –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 xml:space="preserve"> 864 </w:t>
      </w:r>
      <w:r w:rsidR="00E82620" w:rsidRPr="00E10188">
        <w:rPr>
          <w:rFonts w:ascii="Times New Roman" w:eastAsia="Calibri" w:hAnsi="Times New Roman" w:cs="Times New Roman"/>
          <w:sz w:val="24"/>
          <w:szCs w:val="24"/>
        </w:rPr>
        <w:t>про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>фориентационные</w:t>
      </w:r>
      <w:r w:rsidR="0034772D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E10188">
        <w:rPr>
          <w:rFonts w:ascii="Times New Roman" w:eastAsia="Calibri" w:hAnsi="Times New Roman" w:cs="Times New Roman"/>
          <w:sz w:val="24"/>
          <w:szCs w:val="24"/>
        </w:rPr>
        <w:t>услуг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>и</w:t>
      </w:r>
      <w:r w:rsidR="004A2A65" w:rsidRPr="00E101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6E81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>Учащимся образовательных организаций ока</w:t>
      </w:r>
      <w:r w:rsidR="007B21C4" w:rsidRPr="00E10188">
        <w:rPr>
          <w:rFonts w:ascii="Times New Roman" w:eastAsia="Calibri" w:hAnsi="Times New Roman" w:cs="Times New Roman"/>
          <w:sz w:val="24"/>
          <w:szCs w:val="24"/>
        </w:rPr>
        <w:t xml:space="preserve">заны </w:t>
      </w:r>
      <w:r w:rsidR="00CB4E6C" w:rsidRPr="00E10188">
        <w:rPr>
          <w:rFonts w:ascii="Times New Roman" w:eastAsia="Calibri" w:hAnsi="Times New Roman" w:cs="Times New Roman"/>
          <w:sz w:val="24"/>
          <w:szCs w:val="24"/>
        </w:rPr>
        <w:t>8063</w:t>
      </w:r>
      <w:r w:rsidR="00075466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34772D" w:rsidRPr="00E10188">
        <w:rPr>
          <w:rFonts w:ascii="Times New Roman" w:eastAsia="Calibri" w:hAnsi="Times New Roman" w:cs="Times New Roman"/>
          <w:sz w:val="24"/>
          <w:szCs w:val="24"/>
        </w:rPr>
        <w:t>е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E10188">
        <w:rPr>
          <w:rFonts w:ascii="Times New Roman" w:eastAsia="Calibri" w:hAnsi="Times New Roman" w:cs="Times New Roman"/>
          <w:sz w:val="24"/>
          <w:szCs w:val="24"/>
        </w:rPr>
        <w:t>у</w:t>
      </w:r>
      <w:r w:rsidRPr="00E10188">
        <w:rPr>
          <w:rFonts w:ascii="Times New Roman" w:eastAsia="Calibri" w:hAnsi="Times New Roman" w:cs="Times New Roman"/>
          <w:sz w:val="24"/>
          <w:szCs w:val="24"/>
        </w:rPr>
        <w:t>слуг</w:t>
      </w:r>
      <w:r w:rsidR="0034772D" w:rsidRPr="00E10188">
        <w:rPr>
          <w:rFonts w:ascii="Times New Roman" w:eastAsia="Calibri" w:hAnsi="Times New Roman" w:cs="Times New Roman"/>
          <w:sz w:val="24"/>
          <w:szCs w:val="24"/>
        </w:rPr>
        <w:t>и</w:t>
      </w:r>
      <w:r w:rsidRPr="00E10188">
        <w:rPr>
          <w:rFonts w:ascii="Times New Roman" w:eastAsia="Calibri" w:hAnsi="Times New Roman" w:cs="Times New Roman"/>
          <w:sz w:val="24"/>
          <w:szCs w:val="24"/>
        </w:rPr>
        <w:t>,</w:t>
      </w:r>
      <w:r w:rsidR="00A47BC4" w:rsidRPr="00E1018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04F1C" w:rsidRPr="00E10188">
        <w:rPr>
          <w:rFonts w:ascii="Times New Roman" w:eastAsia="Calibri" w:hAnsi="Times New Roman" w:cs="Times New Roman"/>
          <w:sz w:val="24"/>
          <w:szCs w:val="24"/>
        </w:rPr>
        <w:t>в рамках исполнения государственного задания по профессиональной ориентации, установленного</w:t>
      </w:r>
      <w:r w:rsidR="00AF028F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E10188">
        <w:rPr>
          <w:rFonts w:ascii="Times New Roman" w:eastAsia="Calibri" w:hAnsi="Times New Roman" w:cs="Times New Roman"/>
          <w:sz w:val="24"/>
          <w:szCs w:val="24"/>
        </w:rPr>
        <w:t>подведомственному комитету ГАОУ ДО Л</w:t>
      </w:r>
      <w:r w:rsidR="00585257" w:rsidRPr="00E10188">
        <w:rPr>
          <w:rFonts w:ascii="Times New Roman" w:eastAsia="Calibri" w:hAnsi="Times New Roman" w:cs="Times New Roman"/>
          <w:sz w:val="24"/>
          <w:szCs w:val="24"/>
        </w:rPr>
        <w:t>О</w:t>
      </w:r>
      <w:r w:rsidR="00756E81" w:rsidRPr="00E10188">
        <w:rPr>
          <w:rFonts w:ascii="Times New Roman" w:eastAsia="Calibri" w:hAnsi="Times New Roman" w:cs="Times New Roman"/>
          <w:sz w:val="24"/>
          <w:szCs w:val="24"/>
        </w:rPr>
        <w:t xml:space="preserve">  ЦОПП «Профстандарт»</w:t>
      </w:r>
      <w:r w:rsidR="00904F1C" w:rsidRPr="00E10188">
        <w:rPr>
          <w:rFonts w:ascii="Times New Roman" w:eastAsia="Calibri" w:hAnsi="Times New Roman" w:cs="Times New Roman"/>
          <w:sz w:val="24"/>
          <w:szCs w:val="24"/>
        </w:rPr>
        <w:t>.</w:t>
      </w:r>
      <w:r w:rsidR="00E40F78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 xml:space="preserve">Воспитанникам </w:t>
      </w:r>
      <w:r w:rsidR="00553F5C" w:rsidRPr="00E10188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E10188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="00A47BC4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E10188">
        <w:rPr>
          <w:rFonts w:ascii="Times New Roman" w:eastAsia="Calibri" w:hAnsi="Times New Roman" w:cs="Times New Roman"/>
          <w:sz w:val="24"/>
          <w:szCs w:val="24"/>
        </w:rPr>
        <w:t>и школ-интернатов</w:t>
      </w:r>
      <w:r w:rsidR="00A47BC4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E10188">
        <w:rPr>
          <w:rFonts w:ascii="Times New Roman" w:eastAsia="Calibri" w:hAnsi="Times New Roman" w:cs="Times New Roman"/>
          <w:sz w:val="24"/>
          <w:szCs w:val="24"/>
        </w:rPr>
        <w:t>оказаны</w:t>
      </w:r>
      <w:r w:rsidR="0034772D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54" w:rsidRPr="00E1018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440F8" w:rsidRPr="00E10188">
        <w:rPr>
          <w:rFonts w:ascii="Times New Roman" w:eastAsia="Calibri" w:hAnsi="Times New Roman" w:cs="Times New Roman"/>
          <w:sz w:val="24"/>
          <w:szCs w:val="24"/>
        </w:rPr>
        <w:t>223</w:t>
      </w:r>
      <w:r w:rsidR="00037342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0F8" w:rsidRPr="00E10188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="004D5907" w:rsidRPr="00E1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188">
        <w:rPr>
          <w:rFonts w:ascii="Times New Roman" w:eastAsia="Calibri" w:hAnsi="Times New Roman" w:cs="Times New Roman"/>
          <w:sz w:val="24"/>
          <w:szCs w:val="24"/>
        </w:rPr>
        <w:t>услуг</w:t>
      </w:r>
      <w:r w:rsidR="00A440F8" w:rsidRPr="00E10188">
        <w:rPr>
          <w:rFonts w:ascii="Times New Roman" w:eastAsia="Calibri" w:hAnsi="Times New Roman" w:cs="Times New Roman"/>
          <w:sz w:val="24"/>
          <w:szCs w:val="24"/>
        </w:rPr>
        <w:t>и</w:t>
      </w:r>
      <w:r w:rsidRPr="00E101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E10188">
        <w:rPr>
          <w:rFonts w:ascii="Times New Roman" w:eastAsia="Calibri" w:hAnsi="Times New Roman" w:cs="Times New Roman"/>
          <w:sz w:val="24"/>
          <w:szCs w:val="24"/>
        </w:rPr>
        <w:t>ли</w:t>
      </w:r>
      <w:r w:rsidRPr="00E10188">
        <w:rPr>
          <w:rFonts w:ascii="Times New Roman" w:eastAsia="Calibri" w:hAnsi="Times New Roman" w:cs="Times New Roman"/>
          <w:sz w:val="24"/>
          <w:szCs w:val="24"/>
        </w:rPr>
        <w:t xml:space="preserve"> профориент</w:t>
      </w:r>
      <w:r w:rsidR="001D5771" w:rsidRPr="00E10188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тестирование </w:t>
      </w:r>
      <w:r w:rsidR="00A47BC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772 </w:t>
      </w:r>
      <w:r w:rsidR="00AE1C1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525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527 обучающие</w:t>
      </w:r>
      <w:r w:rsidR="00904F1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8525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E10188" w:rsidRDefault="00756E81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D56D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66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 соглашений с работодателями</w:t>
      </w:r>
      <w:r w:rsidR="0034772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диагностике кандидатов на вакант</w:t>
      </w:r>
      <w:r w:rsidR="0034772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рабочие места протестирован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9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47BC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434E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E10188" w:rsidRDefault="00AB4A3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3547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организаций при содействии ГКУ ЦЗН ЛО проведены 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 </w:t>
      </w:r>
      <w:r w:rsidR="00553F5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3215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129 предприятий (организаций)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6F005A" w:rsidRPr="00E10188" w:rsidRDefault="004A2A65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комитета общего и профессионального образования Ленинградской области организовано ежегодное мероприятие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«Единый День Профориентации» (д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- «ЕДП»). </w:t>
      </w:r>
    </w:p>
    <w:p w:rsidR="006F005A" w:rsidRPr="00E10188" w:rsidRDefault="0066644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прошло 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на 19 площадках, расположенных во всех муниципальных районах (городском округе) Ленинградской области. </w:t>
      </w:r>
    </w:p>
    <w:p w:rsidR="006F005A" w:rsidRPr="00E10188" w:rsidRDefault="0034772D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площадкой «ЕДП» стал ФГБОУ ВО «Санкт-Петер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бургский </w:t>
      </w:r>
      <w:r w:rsidR="00B82B7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 университет». Н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главной площадке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«ЕДП»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панельная сессия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открытого диалога «</w:t>
      </w:r>
      <w:proofErr w:type="spellStart"/>
      <w:proofErr w:type="gramStart"/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PROF</w:t>
      </w:r>
      <w:proofErr w:type="gramEnd"/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ориентируйся</w:t>
      </w:r>
      <w:proofErr w:type="spellEnd"/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успех!»,  в рамках которой эксперты науки, бизнеса и образования рассказывали о новых подходах к построению успешной карьеры, актуальных проектах для молодежи Ленинградской области. Для участников «ЕДП» организованы карьерные предложения от ведущих предприятий и организаций Ленинградской области </w:t>
      </w:r>
      <w:r w:rsidR="009E27A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экспресс-собеседований, а также интерактивный марафон «Эволюция профессии», направленный на практическое освоение профессиональных компетенций. </w:t>
      </w:r>
    </w:p>
    <w:p w:rsidR="006F005A" w:rsidRPr="00E10188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«ЕДП» стали 2260 обучающихся образовательных организаций Ленинградской области.</w:t>
      </w:r>
    </w:p>
    <w:p w:rsidR="006F005A" w:rsidRPr="00E10188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реализует  проект «Наставнич</w:t>
      </w:r>
      <w:r w:rsidR="0034772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профориентации» (далее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проект), в рамках которого руководители органов исполнительной власти, директора системообразующих предприятий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деятели культуры и искусств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наставнической деятельности для содействия профессиональному самоопределению обучающейся молодежи Ленинградской области.</w:t>
      </w:r>
    </w:p>
    <w:p w:rsidR="006F005A" w:rsidRPr="00E10188" w:rsidRDefault="006F005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период в проекте прин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наставников и 35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E27A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качестве наставляемых.</w:t>
      </w:r>
    </w:p>
    <w:p w:rsidR="0066644A" w:rsidRPr="00E10188" w:rsidRDefault="00115DBE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наставников-бизнесменов для лучшей молодежи региона стал Юн </w:t>
      </w:r>
      <w:proofErr w:type="spellStart"/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Хьяртланд</w:t>
      </w:r>
      <w:proofErr w:type="spellEnd"/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ООО «</w:t>
      </w:r>
      <w:proofErr w:type="spellStart"/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Йотун</w:t>
      </w:r>
      <w:proofErr w:type="spellEnd"/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Пэйнтс</w:t>
      </w:r>
      <w:proofErr w:type="spellEnd"/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помогает своей наставляемой реализовать социальный проект, направленный на решение проблемы утилизации мусора  путем организации его раздельного сбора. Участница проекта практикует раздельный сбор мусора сначала в своей школе, а затем предлагает транслировать проект во все школы Всеволожского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664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66644A" w:rsidRPr="00E10188" w:rsidRDefault="0066644A" w:rsidP="00BB5B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подобных проектов позволяет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деловые и личностные качества, а регион формирует резерв из числа высококвалифицированных подготовленных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современных условиях кадров.</w:t>
      </w:r>
    </w:p>
    <w:p w:rsidR="0034772D" w:rsidRPr="00E10188" w:rsidRDefault="0066644A" w:rsidP="00666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проектов наставляемых уже активно реализуются в рамках проекта </w:t>
      </w:r>
      <w:r w:rsidR="009E27A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312E5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Ленинградской области.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44A" w:rsidRPr="00E10188" w:rsidRDefault="0066644A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работа по курированию работы  наставнических пар и привлечению новых участников проекта «Наставник47» продолжается. В июне комитет провел образовательную площадку для наставнических пар на Межрегиональном молодежном образовательном форуме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Северо-Западного федерального округа «Ладога».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Наставники-чиновники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наставники-бизнесмены Ленинградской области совместно  с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наставляемыми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собрались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площадке, чтобы получить обратную связь о своих проектах от опытных предпринимателей и экспертов Федерального агентства по делам молодежи. </w:t>
      </w:r>
    </w:p>
    <w:p w:rsidR="0066644A" w:rsidRPr="00E10188" w:rsidRDefault="000A4DB7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проектом, который активно реализует служба занятости Ленинградской области, является «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целью которого является вовлечение студентов образовательных организаций среднего профессионального и высшего образования 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добровольческую деятельность для содействия в профессиональном самоопределении школьников региона.</w:t>
      </w:r>
    </w:p>
    <w:p w:rsidR="000A4DB7" w:rsidRPr="00E10188" w:rsidRDefault="000A4DB7" w:rsidP="000A4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отчетный период в 7 образовательных организациях Ленинградской области были проведены выездные обучающие семинары по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профориентационному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студентов Ленинградской области стали профориентационными волонтерами и включились                      в организацию мероприятий службы занятости Ленинградской области по содействию профессиональному определению школьников региона. </w:t>
      </w:r>
    </w:p>
    <w:p w:rsidR="00C55599" w:rsidRPr="00E10188" w:rsidRDefault="00C55599" w:rsidP="00C55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был инициирован совет профконсультантов службы занятости Ленинградской области. Данный консультативно-совещательный орган создан в целях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профессионализма специалистов службы занятости Ленинградской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выработки предложений и проектных инициатив в сфере профессиональной ориентации граждан, психологической поддержки и социальной адаптации клиентов службы занятости на рынке труда. </w:t>
      </w:r>
    </w:p>
    <w:p w:rsidR="00C55599" w:rsidRPr="00E10188" w:rsidRDefault="00C55599" w:rsidP="00C55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инициативой совета профконсультантов стало формирование единого базового перечня методик для организации работы по профессиональной ориентации, психологической поддержке, социальной адаптации клиентов службы занятости. </w:t>
      </w:r>
    </w:p>
    <w:p w:rsidR="00AB4A3D" w:rsidRPr="00E10188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A4DB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756E8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3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психологической поддержке, </w:t>
      </w:r>
      <w:r w:rsidR="00C57C2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E10188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работных граждан, получивших госуслугу</w:t>
      </w:r>
      <w:r w:rsidR="004A2A6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E10188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0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A4DB7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145 </w:t>
      </w:r>
      <w:r w:rsidR="00445A3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445A3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C2B" w:rsidRPr="00E10188" w:rsidRDefault="00FE4CF6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A4DB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</w:t>
      </w:r>
      <w:r w:rsidR="00445A3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749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E32C4" w:rsidRPr="004261F7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</w:t>
      </w:r>
      <w:r w:rsidR="00A01719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4D590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proofErr w:type="spellStart"/>
      <w:r w:rsidR="0034772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E1018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A9204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AB4A3D" w:rsidRPr="00E10188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E10188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0188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176F17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696 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них:</w:t>
      </w:r>
      <w:r w:rsidR="009E725E" w:rsidRPr="00E10188">
        <w:t xml:space="preserve"> 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15DB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54,9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772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9E5D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15,9%); 104</w:t>
      </w:r>
      <w:r w:rsidR="006F005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стремящи</w:t>
      </w:r>
      <w:r w:rsidR="007628B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725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="00AB4A3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176F17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E10188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102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5F113A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6749B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102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E6EB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539 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человек, </w:t>
      </w:r>
      <w:r w:rsidR="0065102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542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176F17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07400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65102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6DC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</w:t>
      </w:r>
      <w:r w:rsidR="0065102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816DC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65102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E10188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65102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179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="00D07400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E10188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Среди</w:t>
      </w:r>
      <w:r w:rsidR="00532A6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0525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9167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76F17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A5F3B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A6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F4FD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A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55342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мини-ярмарк</w:t>
      </w:r>
      <w:r w:rsidR="00176F17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167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FC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03FC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167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51437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9167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районн</w:t>
      </w:r>
      <w:r w:rsidR="00755342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0525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 – </w:t>
      </w:r>
      <w:proofErr w:type="gramStart"/>
      <w:r w:rsidR="000525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дистанционная</w:t>
      </w:r>
      <w:proofErr w:type="gramEnd"/>
      <w:r w:rsidR="000525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(скайп)</w:t>
      </w:r>
      <w:r w:rsidR="00703FC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E10188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25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– для молодежи, 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6B042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</w:t>
      </w:r>
      <w:r w:rsidR="006B042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25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B042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</w:t>
      </w:r>
      <w:r w:rsidR="007972E1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176F17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0525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 – по организации общественных работ</w:t>
      </w:r>
      <w:r w:rsidR="00AB4A3D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065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406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в России».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занятости.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 регулярно обновлялись вакансии: с предоставлением                  жилья и для лиц с ограниченными возможностями.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комитета публиковались релизы, связанные с популяризацией рабочих профессий, профессионального обучения, велась активная пиар-акция в преддверии «Единого дня профориентации», который прошел в Ленинградской области в марте 2019 года, форума «Биржа деловых контактов», который состоялся в июне 2019 года.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https://vk.com/ktzn_lo, на новости которой подписались 3900 человек. Количество подписчиков с каждым днем увеличивается. Создана закрытая группа «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«Инстаграм» https://www.instagram.com/ktzn_lo/, где ежедневно публиковались фотоотчеты с мероприятий и краткая информация о прошедших событиях</w:t>
      </w:r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1 полугодии 2019 года на странице «Инстаграм» размещено 510 публикаций, в том числе постоянные рубрики комитета –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работу,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граждан, «Новая работа за 60 секунд».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участников. Комитет стремится быть открытым и доступным для всех пользователей Интернета. 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E1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E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ролики о создании рабочих мест для инвалидов с реальными участниками и работодателями.</w:t>
      </w:r>
    </w:p>
    <w:p w:rsidR="00C45293" w:rsidRPr="00E10188" w:rsidRDefault="00C45293" w:rsidP="00C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2019 года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266 материалов: объявлений о предстоящих ярмарках вакансий,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C45293" w:rsidRPr="00E10188" w:rsidRDefault="00C45293" w:rsidP="00C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«Маяк», «Ленинградская биржа труда» и т.д.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0" w:name="_Toc299357663"/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C45293" w:rsidRPr="00E10188" w:rsidRDefault="00C45293" w:rsidP="00C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E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           «</w:t>
      </w:r>
      <w:r w:rsidRPr="00E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bookmarkEnd w:id="0"/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нацелен на возможность бесплатного доступа к Интернету социально незащищенных категорий населения. </w:t>
      </w:r>
    </w:p>
    <w:p w:rsidR="00C45293" w:rsidRPr="00E10188" w:rsidRDefault="00C45293" w:rsidP="00C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C45293" w:rsidRPr="00E10188" w:rsidRDefault="00C45293" w:rsidP="00C4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C45293" w:rsidRPr="00176F17" w:rsidRDefault="00C45293" w:rsidP="00C4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2019 года на сайте комитета опубликовано 270 информационных                          и аналитических материалов. На радио более 70 раз размещена информация о вакансиях, информация о предстоящих мероприятиях службы занятости. На телевидении представлено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информационных материалов и «бегущих строк» с вакансиями и объявлениями службы занятости.</w:t>
      </w:r>
    </w:p>
    <w:p w:rsidR="0013495B" w:rsidRDefault="0013495B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14AF" w:rsidRPr="00E10188" w:rsidRDefault="002A6C1D" w:rsidP="0012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E214AF" w:rsidRPr="00E10188" w:rsidRDefault="00FB526D" w:rsidP="00120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пособие по безработице выплачено </w:t>
      </w:r>
      <w:r w:rsidR="001B1B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7786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что на </w:t>
      </w:r>
      <w:r w:rsidR="001B1B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778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за аналогичный период 2018 года (</w:t>
      </w:r>
      <w:r w:rsidR="001B1B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7008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E214AF" w:rsidRPr="00E10188" w:rsidRDefault="00E214AF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</w:t>
      </w:r>
      <w:r w:rsidR="001B1B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6196,4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на 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 по сравнению с 2018 годом (</w:t>
      </w:r>
      <w:r w:rsidR="001B1B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4215,3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E214AF" w:rsidRPr="00E10188" w:rsidRDefault="001B1B55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безработных граждан, получавших пособие по безработице </w:t>
      </w:r>
      <w:r w:rsidR="009E27A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размере, доля этой категории граждан составляла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36,7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год – 39,8%</w:t>
      </w:r>
      <w:r w:rsidR="00E214AF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14AF" w:rsidRPr="00E10188" w:rsidRDefault="00E214AF" w:rsidP="00E2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 w:rsidR="009E27A8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1B1B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749 человек, что на 133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1B1B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больше, по сравнению с аналогичным периодом 2018 года (</w:t>
      </w:r>
      <w:r w:rsidR="001B1B55"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616</w:t>
      </w:r>
      <w:r w:rsidRPr="00E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человек). </w:t>
      </w:r>
    </w:p>
    <w:p w:rsidR="00E214AF" w:rsidRPr="00E10188" w:rsidRDefault="00E214AF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составляла </w:t>
      </w:r>
      <w:r w:rsidR="00DB526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4866,6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(за 2018 год – </w:t>
      </w:r>
      <w:r w:rsidR="00DB526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2567,4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E214AF" w:rsidRPr="00E10188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граждан, получавших стипендию в минимальном размере. 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этой категории граждан в 1 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– 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53,7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аналогичном периоде 2018 года – 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60,1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214AF" w:rsidRPr="00E10188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Досрочные пенсии выплачены 7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за аналогичный период 2018 года – 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E214AF" w:rsidRPr="00E10188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за аналогичный период 2018 года – </w:t>
      </w:r>
      <w:r w:rsidR="0072712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гражданам. В связи с истечением установленного периода выплаты пособия по безработице материальная помощь безработным гражданам не оказывалась.</w:t>
      </w:r>
    </w:p>
    <w:p w:rsidR="00AB4A3D" w:rsidRPr="009A32F4" w:rsidRDefault="00AB4A3D" w:rsidP="00BB5B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476174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proofErr w:type="spellStart"/>
      <w:r w:rsidR="00F1728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="00F1728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9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</w:t>
      </w:r>
      <w:r w:rsidR="00ED0FC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труда</w:t>
      </w:r>
      <w:r w:rsidR="00F1728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1728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206 коллективных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17281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D0FC2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 9 – впервые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133E" w:rsidRPr="00E10188" w:rsidRDefault="00ED0FC2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01.07</w:t>
      </w:r>
      <w:r w:rsidR="009B133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Ле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действуют 36 соглашений в сфере труда</w:t>
      </w:r>
      <w:r w:rsidR="009B133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133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1203 коллективных договора организаций области. Численность работников, охваченных коллекти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вными договорами, составляет 182,6</w:t>
      </w:r>
      <w:r w:rsidR="009B133E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5C454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заседания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областной трехсторонней комиссии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котором рассматривались вопросы: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2019 году;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детской оздоровительной к</w:t>
      </w:r>
      <w:r w:rsidR="00C07E9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 в 2019 году и совершенствовании нормативной правовой базы, регулирующей вопросы оздоровления детей в Ленинградской области;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с работодателями по созданию рабочих мест для трудоустройства инвалидов;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регламента работы Ленинградской областной трехсторонней комиссии по регулированию социально-трудовых отношений;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 по обеспечению занятости г</w:t>
      </w:r>
      <w:r w:rsidR="00A159B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предпенсионного возраста;</w:t>
      </w:r>
    </w:p>
    <w:p w:rsidR="00A159B5" w:rsidRPr="00E10188" w:rsidRDefault="00A159B5" w:rsidP="00A1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социально-экономического развития Ленинградской области в 2018 году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перспективах на 2019 год;</w:t>
      </w:r>
    </w:p>
    <w:p w:rsidR="00A159B5" w:rsidRPr="00E10188" w:rsidRDefault="00A159B5" w:rsidP="00A1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трудовой миграции в Ленинградской области, в том числе о стоимости в 2019 году авансового платежа за патент на осуществление трудовой деятельности иностранными гражданами на территории Ленинградской области</w:t>
      </w:r>
      <w:r w:rsidR="00EF1523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523" w:rsidRPr="00E10188" w:rsidRDefault="00EF1523" w:rsidP="00A1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транспортной системы в Ленинградской области в 2019 году;</w:t>
      </w:r>
    </w:p>
    <w:p w:rsidR="00EC03C0" w:rsidRPr="00E10188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проектах обязатель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2020 год к Ленинградскому областному трехстороннему соглашению о проведении социально-экономической политики и развитии социального партнерства на 2019-2021 годы и Регионального соглашения о минимальной заработной плате в Ленинградской области на 2020 год;</w:t>
      </w:r>
    </w:p>
    <w:p w:rsidR="00EC03C0" w:rsidRPr="00E10188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областного закона «Об охране труда в Ленинградской области»;</w:t>
      </w:r>
    </w:p>
    <w:p w:rsidR="00EC03C0" w:rsidRPr="00E10188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руководителей сторон социального партнерства Ленинградской области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главам администраций муниципальных районов и городского округа Ленинградской области, руководителям организаций всех форм собственности, профсоюзным организациям.</w:t>
      </w:r>
    </w:p>
    <w:p w:rsidR="00EC03C0" w:rsidRPr="00E10188" w:rsidRDefault="00EC03C0" w:rsidP="00EC0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заседание комиссии по обеспечению </w:t>
      </w:r>
      <w:proofErr w:type="gramStart"/>
      <w:r w:rsidR="0032162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="0032162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экономики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стабильности в Ленинградской об</w:t>
      </w:r>
      <w:r w:rsidR="0032162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по рассмотрению ситуации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задолженностью по заработной плате в организациях Ленинградской области.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Распоряжение Губернатора Ленинградской области </w:t>
      </w:r>
      <w:r w:rsidR="00117D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9E27A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Губернатора Ленинградской области от 20 апреля 2018 года № 229-рг </w:t>
      </w:r>
      <w:r w:rsidR="0012072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подготовке проектов Ленинградского областного трехстороннего соглашения  о проведении социально-экономической политики и развитии социального партнерства на 2019-2021 годы</w:t>
      </w:r>
      <w:r w:rsidR="009E27A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ежегодных обязатель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2019, 2020, 2021 годы».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E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года, которая утверждена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Ленинград</w:t>
      </w:r>
      <w:r w:rsidR="00EC03C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от 15.02.2019 № 56 и за </w:t>
      </w:r>
      <w:r w:rsidR="00EC03C0" w:rsidRPr="00E10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C03C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 Постановление Правительства Ленинградской области от 10.06.2019 № 263.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27.02.2019 № 76.</w:t>
      </w:r>
    </w:p>
    <w:p w:rsidR="00EC03C0" w:rsidRPr="00E10188" w:rsidRDefault="00117D55" w:rsidP="0011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Распоряжение Губернатора Ленинградской области «Об организации работы по выполнению Ленинградского областного трехстороннего соглашения о проведении социально-экономической политики и развитии социального партнерства на 2019-2021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годыи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2019 год» от 01.02.2019 № 61-рг.</w:t>
      </w:r>
    </w:p>
    <w:p w:rsidR="00117D55" w:rsidRPr="00E10188" w:rsidRDefault="00117D55" w:rsidP="0011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Распоряжение Губернатора Ленинградской</w:t>
      </w:r>
      <w:r w:rsidR="0032162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«О внесении изменений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Губернатора Ленинградской области от 20 апреля 2018 года № 229-рг «О подготовке проектов Ленинградского областного трехстороннего соглашения  о проведении социально-экономической политики и развитии социального партнерства на 2019-2021 годы </w:t>
      </w:r>
      <w:r w:rsidR="00321627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ежегодных обязатель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2019, 2020, 2021 годы» от 17.05.2019 № 362-рг.</w:t>
      </w:r>
    </w:p>
    <w:p w:rsidR="009B133E" w:rsidRPr="00E10188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Продолжалось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положений регионального соглашения о минимальной заработной плате в Ленинградской области на 2019 год.</w:t>
      </w:r>
    </w:p>
    <w:p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2019 года в целях обеспечения реализации прав работников на получение объективной информации об условиях и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 на рабочих местах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13 государственных экспертиз условий труда в целях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594 рабочих местах, с количеством занятых на них работников – 723 человека.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13 заключений государственной экспертизы условий труда, что составило 100% от количества обращений;</w:t>
      </w:r>
      <w:proofErr w:type="gramEnd"/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 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проведения специальной оценки условий труда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за указанный период 1052 организации Ленинградской области провели специальную оценку условий труда (далее - СОУТ) на 17513 рабочих местах. Общее количество занятых на этих местах работников – 20981 человек. Количество декларируемых рабочих мест – 12852 единицы.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СОУТ на территории Ленинградской области оказывали</w:t>
      </w:r>
      <w:r w:rsid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организации, аккредитованные в Минтруд России.</w:t>
      </w:r>
    </w:p>
    <w:p w:rsidR="00AD7FB3" w:rsidRPr="00E10188" w:rsidRDefault="00AD7FB3" w:rsidP="00FB5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организационно-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обеспечению работы Ленинградской областной Межведомственной комиссии по охране труда, комитетом организованы и проведены 2 выездных заседания Ленинградской областной Межведомственной комиссии по охране труда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с 22 обучающими организациями. По итогам проведенного мониторинга на территории Ленинградской области в 1 полугодии  2019 года прошли обучение и проверку знаний требований охраны труда 1860 человек, в том числе 152 руководителя и 1708 специалистов организаций. По государственной программе, за счёт выделенных средств, было обучено 190 человек.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Проводился ежемесячный мониторинг действующего законодательства в области охраны труда. По итогам мониторинга подготовлены изменения в региональные нормативные правовые акты.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и прошел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проект закона «Об охране труда в Ленинградской области».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</w:t>
      </w:r>
      <w:r w:rsidR="00FB526D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труда, в том числе: 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выездных семинаров по охране труда для руководителей и специалистов </w:t>
      </w:r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Выборгского,</w:t>
      </w:r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</w:t>
      </w:r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одейнопольского</w:t>
      </w:r>
      <w:proofErr w:type="spellEnd"/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</w:t>
      </w:r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452CAB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«Основные тенденции развития и методы совершенствования трудового законодательства в области охраны труда»,</w:t>
      </w:r>
      <w:r w:rsidR="0045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приняли участие 668 человек;</w:t>
      </w:r>
    </w:p>
    <w:p w:rsidR="00AD7FB3" w:rsidRPr="00E10188" w:rsidRDefault="00AD7FB3" w:rsidP="00AD7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интерактивных обучающих семинара «Территория безопасного труда» по профилактике производственного травматизма с использованием мобильного комплекса по охране труда </w:t>
      </w:r>
      <w:r w:rsidR="000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заведениях Ленинградской области, с общим количеством участников – 517 человек.</w:t>
      </w:r>
    </w:p>
    <w:p w:rsidR="0000453E" w:rsidRDefault="0000453E" w:rsidP="0000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9823FB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55" w:rsidRPr="00E10188" w:rsidRDefault="009E5F88" w:rsidP="00326655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6757740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Управлением по вопросам миграции ГУ МВД России 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Санкт-Петербургу и Ленинградской области (далее – УВМ) было оформлено 730 разрешений на работу иностранным гражданам, в том числе: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74 разрешения на работу – согласно ст. 13.2 115-ФЗ (иностранные граждане, являющиеся высококвалифицированными специалистами), в том числе 63 разрешения для гражда</w:t>
      </w:r>
      <w:r w:rsidR="009E5F8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 визовым порядком въезда в Российскую Федерацию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11 разрешений на работу для граждан с безвизовым порядком въезда);</w:t>
      </w:r>
      <w:proofErr w:type="gramEnd"/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719 разрешений на работу гражданам из стран с визовым режимом въезда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учетом высококвалифицированных специалистов, прибывших в визовом порядке въезда).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2019 года выдано 705 разрешений на работу.</w:t>
      </w:r>
    </w:p>
    <w:p w:rsidR="00326655" w:rsidRPr="00E10188" w:rsidRDefault="009E5F88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УВМ оформлено 36814 патентов, выдано 36936 патентов иностранным гражданам по Ленинградской области.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 – 25471 человек (68,9%);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– 9330 человек (25,3%);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 – 1478 человек (4%);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 – 468 человек (1,3%);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– 189 человек (0,5%).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01.01.2019 аннулировано 824 патента иностранным гражданам, отказано в выдаче патентов 603 иностранным гражданам.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19408 уведомлений о привлечении к трудовой деятельности иностранных граждан на территории Ленинградской области, в том числе: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15080 – на основании патентов;</w:t>
      </w:r>
    </w:p>
    <w:p w:rsidR="00326655" w:rsidRPr="00E10188" w:rsidRDefault="00326655" w:rsidP="0032665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316 – на основании разрешения на работу;</w:t>
      </w:r>
    </w:p>
    <w:p w:rsidR="00326655" w:rsidRPr="00E10188" w:rsidRDefault="00326655" w:rsidP="00326655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4012 уведомлений об осуществлении иностранными гражданами трудовой деятельности без получения разрешительных документов, в том числе 3331 уведомление об осуществлении трудовой деятел</w:t>
      </w:r>
      <w:r w:rsidR="00E0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иностранными гражданами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стран – участников Евразийского экономического союза.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</w:t>
      </w:r>
      <w:r w:rsidR="00E0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уведомлений от работодателей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трудовых договоров с иностранными гражданами, осуществляющими трудовую деятельность </w:t>
      </w:r>
      <w:r w:rsidR="00E0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по патентам):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27,1%;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21,4%;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 и предметов личного производства – 15,1%;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– 10,2%;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9,5%;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 связь – 9,1%;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гостиниц и ресторанов – 5,2%; 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– 2,4%.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иностранных граждан привлечено к трудовой деятельности по следующим профессиям: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подсобный рабочий – 69,4%;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 – 2,1%;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каменщик – 2%;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 – 2,1%;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 – 1,3%;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 – 1,1%;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рабочий – 1,1 %;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– 0,9%;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– 0,9%;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 – 0,8%;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бетонщик – 0,8%, и другие. </w:t>
      </w:r>
    </w:p>
    <w:p w:rsidR="00326655" w:rsidRPr="00E10188" w:rsidRDefault="00326655" w:rsidP="0032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в виде фиксированных авансовых платежей, полученных физическими лицами, являющимися иностранными гражданами </w:t>
      </w:r>
      <w:r w:rsidR="009E5F8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составила 906616,1 тыс. руб.,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2,6% меньше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полученной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период прошлого года.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7869672"/>
      <w:bookmarkStart w:id="3" w:name="_Hlk526757651"/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</w:t>
      </w:r>
      <w:r w:rsidR="00E0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Ленинградской области, ГУ МВД России по Санкт-Петербургу и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Ленинградской области, а также заявки работодателей о формировании квот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выдачу разрешений на работу иностранным работникам из стран с визовым порядком въезда</w:t>
      </w:r>
      <w:r w:rsidR="00E0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Ленинградскую область.</w:t>
      </w:r>
    </w:p>
    <w:p w:rsidR="00326655" w:rsidRPr="00E10188" w:rsidRDefault="009E5F88" w:rsidP="009E5F88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состоялось 4 </w:t>
      </w:r>
      <w:proofErr w:type="gramStart"/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МВК на </w:t>
      </w:r>
      <w:proofErr w:type="gramStart"/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рассмотрено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заявок работодателей о потребности в привлечении иностранных работников на те</w:t>
      </w:r>
      <w:bookmarkStart w:id="4" w:name="_Hlk520974262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Ленинградской области.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заседаний МВК были приняты решения: </w:t>
      </w:r>
      <w:bookmarkStart w:id="5" w:name="_GoBack"/>
      <w:bookmarkEnd w:id="5"/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в полном объеме 4 заявки работодателей для формирования корректировки квоты 2019 года в сторону увеличения на 296 разрешений на работу;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в полном объеме 3 заявки работодателей для формирования квоты 2020 года на 12 разрешений на работу; </w:t>
      </w:r>
    </w:p>
    <w:bookmarkEnd w:id="4"/>
    <w:p w:rsidR="00326655" w:rsidRPr="00E10188" w:rsidRDefault="00326655" w:rsidP="00326655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в полном объеме 5 заявок работодателей для формирования корректировки квоты 2019 года в сторону увеличения на привлечение 398 иностранных работников в связи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 удовлетворения потребности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силе по профессиям (специальностям, должностям), указанным в заявке работодателя, за счет региональных трудовых ресурсов, в том числе путем профессионального образования и дополнительного профессионального образования или профессионального обучения незанятых граждан, высвобождаемых работников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перераспределения трудовых ресурсов внутри субъекта Российской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привлечения из других субъектов Российской Федерации, трудоустройства выпускников образовательных организаций; </w:t>
      </w:r>
    </w:p>
    <w:p w:rsidR="00326655" w:rsidRPr="00E10188" w:rsidRDefault="00326655" w:rsidP="00326655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в полном объеме 2 заявки работодателей для формирования квоты 2020 года на привлечение 176 иностранных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в связи с наличием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работодателей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неустраненных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трудового законодательства. </w:t>
      </w:r>
    </w:p>
    <w:p w:rsidR="00326655" w:rsidRPr="00E10188" w:rsidRDefault="00326655" w:rsidP="0032665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Утвержденная квота на 2019 года с учетом корректировок составляет 2070 разрешений на работу, в счет установленной квоты оформлено 376 разрешений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работу, расход – 18,2%.</w:t>
      </w:r>
    </w:p>
    <w:p w:rsidR="00326655" w:rsidRPr="00E10188" w:rsidRDefault="003A6B80" w:rsidP="0032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0468476"/>
      <w:bookmarkEnd w:id="2"/>
      <w:bookmarkEnd w:id="3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комитетом по труду и занятости населения Ленинградской области рассмотрено 56 запросов Управления по вопросам миграции 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 МВД России по Санкт-Петербургу и Ленинградской области о выдаче заключений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привлечении </w:t>
      </w:r>
      <w:proofErr w:type="gramStart"/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550 иностранных специалистов.</w:t>
      </w:r>
    </w:p>
    <w:p w:rsidR="00326655" w:rsidRPr="00E10188" w:rsidRDefault="00326655" w:rsidP="0032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выдано 54 заключения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целесообразности привлечения и использо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544 </w:t>
      </w:r>
      <w:proofErr w:type="gramStart"/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proofErr w:type="gramEnd"/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– 470 по квотируемым специальностям</w:t>
      </w:r>
      <w:bookmarkEnd w:id="6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655" w:rsidRPr="00E10188" w:rsidRDefault="00326655" w:rsidP="0032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– 152 человека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(27,6%);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– 99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(18%);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– 92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(16,7%);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 – 80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(14,5%);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Гатчинский – 59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челловек</w:t>
      </w:r>
      <w:proofErr w:type="spellEnd"/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(10,7%);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– 29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(5,3%);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 – 10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(1,8%);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– 8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(1,5%)</w:t>
      </w:r>
    </w:p>
    <w:p w:rsidR="00326655" w:rsidRPr="00E10188" w:rsidRDefault="003A6B80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 – 6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(1,1%)</w:t>
      </w:r>
      <w:r w:rsidR="00E1018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655" w:rsidRPr="00E10188" w:rsidRDefault="00326655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Тихвинский – 5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(0,9%)</w:t>
      </w:r>
      <w:r w:rsidR="00E1018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655" w:rsidRPr="00E10188" w:rsidRDefault="00326655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– 5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(0,9%);</w:t>
      </w:r>
    </w:p>
    <w:p w:rsidR="00326655" w:rsidRPr="00E10188" w:rsidRDefault="00326655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Бокситогорский – 2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(0,4%)</w:t>
      </w:r>
      <w:r w:rsidR="00E1018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655" w:rsidRPr="00E10188" w:rsidRDefault="00326655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Лужский – 1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(0,2%);</w:t>
      </w:r>
    </w:p>
    <w:p w:rsidR="00326655" w:rsidRPr="00E10188" w:rsidRDefault="00326655" w:rsidP="003266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Подпорожский – 1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(0,2%)</w:t>
      </w:r>
      <w:r w:rsidR="00E1018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(0,2%)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24 стран. Наибольшее количество иностранных работников работодатели планируют привлечь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 – 124 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(22,7%) для осуществления трудовой деятельности в сфере строительства, в сфере обрабатывающего производства, в сфере транспортировки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хранения; </w:t>
      </w:r>
    </w:p>
    <w:p w:rsidR="00326655" w:rsidRPr="00E10188" w:rsidRDefault="003A6B80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Филиппин – 105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(19,2%) для осуще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ствления трудовой деятельности 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транспортировки и хранения.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 – 100 человек (18,3%) для осуществления трудовой деятельности в сельском хозяйстве, в сфере обрабатывающего производства и торговли;</w:t>
      </w:r>
    </w:p>
    <w:p w:rsidR="00326655" w:rsidRPr="00E10188" w:rsidRDefault="003A6B80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Сербии – 76 человек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(13,9%) для осуществления трудовой деятельности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строительства.</w:t>
      </w:r>
    </w:p>
    <w:p w:rsidR="00326655" w:rsidRPr="00E10188" w:rsidRDefault="003A6B80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326655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комитетом согласовано привлечение иностранных работников из стран с визовым порядком въезда в РФ по следующим видам экономической деятельности: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187 человек (34,4%);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172 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(31,6%);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140 человек (25,6%);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ремонт автотранспортных ср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 и мотоциклов – 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человек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(5,2%);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лесное хозяйство – 12 человек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(2,2%);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3 человек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(0,6%);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2 человека (0,4%)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655" w:rsidRPr="00E10188" w:rsidRDefault="00326655" w:rsidP="0032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востребованных специалистов 80 человек (14,6%) привлекаются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неквотируемым специальностям (должностям).</w:t>
      </w:r>
    </w:p>
    <w:bookmarkEnd w:id="1"/>
    <w:p w:rsidR="00994B41" w:rsidRPr="004261F7" w:rsidRDefault="005C6C54" w:rsidP="001F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B91B40" w:rsidRPr="00B91B40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4F" w:rsidRPr="00E10188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Ленинградской области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востребована и продолжает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реализовываться </w:t>
      </w:r>
      <w:bookmarkStart w:id="7" w:name="_Hlk509564568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</w:t>
      </w:r>
      <w:bookmarkEnd w:id="7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14F" w:rsidRPr="00E10188" w:rsidRDefault="0028014F" w:rsidP="0068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создание благоприятных условий для переселения на территорию Ленинградской области соотечественников, проживающих за рубежом, развитие регионального рынка труда.</w:t>
      </w:r>
    </w:p>
    <w:p w:rsidR="00F53C9D" w:rsidRPr="00E10188" w:rsidRDefault="00F53C9D" w:rsidP="00687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реализуются мероприятия по следующим основным направлениям: </w:t>
      </w:r>
    </w:p>
    <w:p w:rsidR="00F53C9D" w:rsidRPr="00E10188" w:rsidRDefault="00F53C9D" w:rsidP="0068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правовых, организационных, социально-экономических и информационных условий, способствующих добровольному переселению соотечественников, проживающих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рубежом, в Ленинградскую область для постоянного проживания, быстрому их включению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трудовые и социальные связи региона;</w:t>
      </w:r>
    </w:p>
    <w:p w:rsidR="00F53C9D" w:rsidRPr="00E10188" w:rsidRDefault="00F53C9D" w:rsidP="00F5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и интеграции участников подпрограммы и членов их семей в принимающее сообщество, оказание им мер социальной поддержки, предоставление государственных и муниципальных услуг, содействие в жилищном обустройстве;</w:t>
      </w:r>
    </w:p>
    <w:p w:rsidR="00F53C9D" w:rsidRPr="00E10188" w:rsidRDefault="00F53C9D" w:rsidP="00F5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соотечественников, переселяемых в Ленинградскую область;</w:t>
      </w:r>
    </w:p>
    <w:p w:rsidR="00F53C9D" w:rsidRPr="00E10188" w:rsidRDefault="00F53C9D" w:rsidP="00F5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талантливой молодежи для получения образования в образовательных организациях, расположенных на территории Ленинградской области.</w:t>
      </w:r>
    </w:p>
    <w:p w:rsidR="00F53C9D" w:rsidRPr="00E10188" w:rsidRDefault="00F53C9D" w:rsidP="00F5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январе-июне 2019 года в комитет по труду и занятости населения Ленинградской области от Управления по вопросам миграции ГУ МВД России по Санкт-Петербургу и Ленинградской области поступило на рассмотрение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717 копий заявлений соотечественников.</w:t>
      </w:r>
    </w:p>
    <w:p w:rsidR="00F53C9D" w:rsidRPr="00E10188" w:rsidRDefault="00F53C9D" w:rsidP="00F5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заявлений, с учетом информации муниципальных районов (городского округа), выбранных заявителями в качестве районов вселения, комитет принял следующие решения:</w:t>
      </w:r>
    </w:p>
    <w:p w:rsidR="00F53C9D" w:rsidRPr="00E10188" w:rsidRDefault="00F53C9D" w:rsidP="00F5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526 заявлений </w:t>
      </w: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(73,4%);</w:t>
      </w:r>
    </w:p>
    <w:p w:rsidR="00F53C9D" w:rsidRPr="00E10188" w:rsidRDefault="00F53C9D" w:rsidP="00F5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191 заявление отклонено (26,6%)</w:t>
      </w:r>
      <w:r w:rsidR="00687AF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D4A" w:rsidRPr="00E10188" w:rsidRDefault="003A6B80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proofErr w:type="spellStart"/>
      <w:r w:rsidR="00DD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пологудии</w:t>
      </w:r>
      <w:proofErr w:type="spellEnd"/>
      <w:r w:rsidR="00DD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D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Управлением по вопросам миграции ГУ МВД России </w:t>
      </w:r>
      <w:r w:rsidR="00DD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03D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и Ленинградской области поставлено на учет в качестве прибывших </w:t>
      </w:r>
      <w:r w:rsidR="00DD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03D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вселения 503 участника подпрограммы (62,9% от планового показателя на 2019 год) и 669 членов их семей. Количество прибывших в Ленинградскую область соотечественников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003D4A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 14,4% меньше количества прибывших соотечественников за аналогичный период прошлого года.</w:t>
      </w:r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Ленин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градскую область переселились 1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 соотечественника </w:t>
      </w:r>
      <w:r w:rsidR="008A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12 стран. Наибольшее количество соотечественников переселилось из Украины – 477 чел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(40,7%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Казахстана – 371 человек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(32%), Таджикистана – 106 чел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(9%), Молдовы – 67 чел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(5,7%), Узбекистана – 64 чел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(5,5 %).</w:t>
      </w:r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прибывших в 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соотечественников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849 чел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(72,4%) трудоспособного возраста (мужчины в воз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 от 16 до 59 лет, женщины </w:t>
      </w:r>
      <w:r w:rsidR="008A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16 до 54 лет); 275 чел</w:t>
      </w:r>
      <w:r w:rsidR="003A6B80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(23,5%) в возрасте, не достигшем утвержденного трудоспособного возраста, дети и 48 чел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(4,1%) в возрасте старше утвержденного трудоспособного возраста</w:t>
      </w:r>
      <w:proofErr w:type="gramEnd"/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образования из числа переселившихся в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трудоспосо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соотечественников (831</w:t>
      </w:r>
      <w:r w:rsidR="00F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): 426 чел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(51,3%) имеют высшее профессиональное образование, 284 чел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(34,2%) имеют среднее профессиональное образование, 121 чел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(14,6%) имеет среднее общее образование.</w:t>
      </w:r>
    </w:p>
    <w:p w:rsidR="00003D4A" w:rsidRPr="00E10188" w:rsidRDefault="00003D4A" w:rsidP="00171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Переселившиеся соотечественники частично компенсируют дефицит квалифицированных кадров на предприятиях Ленинградской области. Среди всех отраслей экономики, наибольшую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в квалифицированных кадрах из числа соотечественников испытывают здравоохранение и образование.</w:t>
      </w:r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соотечественников решают вопросы трудо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до момента вселения </w:t>
      </w:r>
      <w:r w:rsidR="00F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Ленинградской области или работают в реги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момент подачи заявления</w:t>
      </w:r>
      <w:r w:rsidR="00F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подпрограмме. В службу занятости населения Ленинградской области в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за содействием в трудоустройстве обратились 15 соотечественников, переселившихся</w:t>
      </w:r>
      <w:r w:rsidR="00F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Ленинградскую область в рамках реализации подпрограммы.</w:t>
      </w:r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прибывших в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востребованных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специалистов: инженер – 95 </w:t>
      </w:r>
      <w:proofErr w:type="spellStart"/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челвек</w:t>
      </w:r>
      <w:proofErr w:type="spellEnd"/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; экономист – 54 человека; врач – 37 человек; педагог – 35 человек; медсестра – 24 человека; электрик – 22 человека; программист – 19 человек; водитель – 19 человек; сварщик – 17 человек; воспитатель – 9 человек.</w:t>
      </w:r>
      <w:proofErr w:type="gramEnd"/>
    </w:p>
    <w:p w:rsidR="00687AF0" w:rsidRPr="00E10188" w:rsidRDefault="00687AF0" w:rsidP="0068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медицинские организации государственной системы здравоохранения Ленинградской области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обратились за получением гарантированного медицинского обслуживания 230 соотечественников.</w:t>
      </w:r>
    </w:p>
    <w:p w:rsidR="00687AF0" w:rsidRPr="00E10188" w:rsidRDefault="00687AF0" w:rsidP="0068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прибывших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соотечественниоков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полугодии 2019 года в Единой региональной автоматизированной информационной системе АИС «Социальная защита </w:t>
      </w:r>
      <w:proofErr w:type="spell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Ленинградсокй</w:t>
      </w:r>
      <w:proofErr w:type="spell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зарегистрированы 6 семей с детьми и 2 гражданина.</w:t>
      </w:r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подведомственными учреждениями комитета предоставлена 821 консультация по вопросам участия в подпрограмме, в том числе 256 консультаций про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ведены совместно с Управлением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миграции ГУ МВД России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Санкт-Петербургу</w:t>
      </w:r>
      <w:r w:rsid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области.</w:t>
      </w:r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31 соотечественник прошел обучение по программе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области».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по данной программе в 2019 год</w:t>
      </w:r>
      <w:r w:rsidR="00FD2A3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обучить 539 человек. В настоящее время проходят обучение 205 соотечественников.</w:t>
      </w:r>
    </w:p>
    <w:p w:rsidR="00003D4A" w:rsidRPr="00E10188" w:rsidRDefault="00003D4A" w:rsidP="0000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</w:t>
      </w:r>
      <w:r w:rsidR="00F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прибывших участников подпрограммы и членов их семьи: </w:t>
      </w:r>
      <w:hyperlink r:id="rId16" w:history="1">
        <w:r w:rsidRPr="00E10188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7" w:history="1">
        <w:r w:rsidRPr="00E10188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разработан в рамках средств, выделенных на реализацию подпрограммы в 2017 году. 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2019 года зарегистрировано 13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526 посещений портал</w:t>
      </w:r>
      <w:r w:rsidR="00EE387C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 9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924 пользователями.</w:t>
      </w:r>
    </w:p>
    <w:p w:rsidR="00675B04" w:rsidRPr="00E10188" w:rsidRDefault="00675B04" w:rsidP="006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потенциальных участников подпрограммы за рубежом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апреля 2019 года состоялась видеоконференция с участием представителей Управления </w:t>
      </w:r>
      <w:r w:rsidR="00FD2A38"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миграции ГУ МВД России по Санкт-Петербургу и Ленинградской области, представительства МВД России в Латвии и службы занятости населения Ленинградской области. На постоянной основе проводятся консультации с потенциальными заявителями, проживающими за рубежом, в режиме видеоконференции.</w:t>
      </w:r>
    </w:p>
    <w:p w:rsidR="00675B04" w:rsidRPr="00E10188" w:rsidRDefault="00675B04" w:rsidP="00675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отдела по работе соотечественниками, беженцами и вынужденными переселенцам УВМ ГУ МВД России по Санкт-Петербургу и Ленинградской области открыто представительство комитета по труду и занятости населения Ленинградской области по согласованию с ГУ МВД России по Санкт-Петербургу и Ленинградской области для предоставления консультаций прибывшим соотечественникам по вопросам трудоустройства в Ленинградской области и другим мероприятиям подпрограммы.</w:t>
      </w:r>
      <w:proofErr w:type="gramEnd"/>
    </w:p>
    <w:p w:rsidR="00675B04" w:rsidRPr="0010347F" w:rsidRDefault="00675B04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2019 года состоялось очередное заседание межведомственной комиссии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реализации подпрограммы «Оказание содействия добровольному переселению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области», </w:t>
      </w:r>
      <w:r w:rsidR="00F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были рассмотрены итоги реализации подпрограммы за 1 квартал 2019 года, а также предложения по внесению изменений в действующие критерии участия в подпрограмме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ее эффективности</w:t>
      </w:r>
      <w:proofErr w:type="gramEnd"/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доступности. В соответствии с решением межведомственной комиссии подготовлены проекты внесения изменений в подпрограмму</w:t>
      </w:r>
      <w:r w:rsidR="0058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Регламент приема соотечественников, которые будут согласованы в установленном порядке.</w:t>
      </w:r>
    </w:p>
    <w:p w:rsidR="00435ECB" w:rsidRPr="004261F7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4261F7" w:rsidSect="004A51EC">
          <w:headerReference w:type="even" r:id="rId18"/>
          <w:headerReference w:type="default" r:id="rId19"/>
          <w:headerReference w:type="first" r:id="rId20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674" w:type="dxa"/>
        <w:tblInd w:w="-176" w:type="dxa"/>
        <w:tblLook w:val="04A0" w:firstRow="1" w:lastRow="0" w:firstColumn="1" w:lastColumn="0" w:noHBand="0" w:noVBand="1"/>
      </w:tblPr>
      <w:tblGrid>
        <w:gridCol w:w="568"/>
        <w:gridCol w:w="2498"/>
        <w:gridCol w:w="1325"/>
        <w:gridCol w:w="238"/>
        <w:gridCol w:w="1087"/>
        <w:gridCol w:w="380"/>
        <w:gridCol w:w="284"/>
        <w:gridCol w:w="1196"/>
        <w:gridCol w:w="221"/>
        <w:gridCol w:w="992"/>
        <w:gridCol w:w="1056"/>
        <w:gridCol w:w="1071"/>
        <w:gridCol w:w="289"/>
        <w:gridCol w:w="845"/>
        <w:gridCol w:w="495"/>
        <w:gridCol w:w="1220"/>
        <w:gridCol w:w="1422"/>
        <w:gridCol w:w="265"/>
        <w:gridCol w:w="222"/>
      </w:tblGrid>
      <w:tr w:rsidR="00A31BCE" w:rsidRPr="00A31BCE" w:rsidTr="00A31BCE">
        <w:trPr>
          <w:gridAfter w:val="1"/>
          <w:wAfter w:w="222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A31BCE" w:rsidRPr="00A31BCE" w:rsidTr="00A31BCE">
        <w:trPr>
          <w:gridAfter w:val="1"/>
          <w:wAfter w:w="222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gridAfter w:val="2"/>
          <w:wAfter w:w="487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A31BCE" w:rsidRPr="00A31BCE" w:rsidTr="00A31BCE">
        <w:trPr>
          <w:gridAfter w:val="2"/>
          <w:wAfter w:w="487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полугодие 2018-2019 гг.</w:t>
            </w:r>
          </w:p>
        </w:tc>
      </w:tr>
      <w:tr w:rsidR="00A31BCE" w:rsidRPr="00A31BCE" w:rsidTr="00A31BC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5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 к 01.07.18,               %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 к 01.01.19,             %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2019  </w:t>
            </w:r>
            <w:proofErr w:type="gramStart"/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2018, %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BCE" w:rsidRPr="00A31BCE" w:rsidTr="00C066B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         2018 года</w:t>
            </w:r>
          </w:p>
        </w:tc>
        <w:tc>
          <w:tcPr>
            <w:tcW w:w="17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      2019 года</w:t>
            </w:r>
          </w:p>
        </w:tc>
        <w:tc>
          <w:tcPr>
            <w:tcW w:w="240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3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7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BCE" w:rsidRPr="00A31BCE" w:rsidTr="00A31BCE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14047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14606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4546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5375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BCE" w:rsidRPr="00A31BCE" w:rsidRDefault="00A31BCE" w:rsidP="00A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222" w:type="dxa"/>
            <w:vAlign w:val="center"/>
            <w:hideMark/>
          </w:tcPr>
          <w:p w:rsidR="00A31BCE" w:rsidRPr="00A31BCE" w:rsidRDefault="00A31BCE" w:rsidP="00A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8" w:type="dxa"/>
        <w:tblInd w:w="-176" w:type="dxa"/>
        <w:tblLook w:val="04A0" w:firstRow="1" w:lastRow="0" w:firstColumn="1" w:lastColumn="0" w:noHBand="0" w:noVBand="1"/>
      </w:tblPr>
      <w:tblGrid>
        <w:gridCol w:w="710"/>
        <w:gridCol w:w="2327"/>
        <w:gridCol w:w="1240"/>
        <w:gridCol w:w="260"/>
        <w:gridCol w:w="1559"/>
        <w:gridCol w:w="1985"/>
        <w:gridCol w:w="693"/>
        <w:gridCol w:w="724"/>
        <w:gridCol w:w="773"/>
        <w:gridCol w:w="645"/>
        <w:gridCol w:w="1422"/>
        <w:gridCol w:w="1559"/>
        <w:gridCol w:w="1701"/>
      </w:tblGrid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 к</w:t>
            </w: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2018 к              1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2019, %</w:t>
            </w:r>
          </w:p>
        </w:tc>
        <w:tc>
          <w:tcPr>
            <w:tcW w:w="425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01.01.19,</w:t>
            </w: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2018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2019 года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066BE" w:rsidRPr="00C066BE" w:rsidTr="00C066B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C066BE" w:rsidRPr="00C066BE" w:rsidTr="00C066BE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71" w:type="dxa"/>
        <w:tblInd w:w="-318" w:type="dxa"/>
        <w:tblLook w:val="04A0" w:firstRow="1" w:lastRow="0" w:firstColumn="1" w:lastColumn="0" w:noHBand="0" w:noVBand="1"/>
      </w:tblPr>
      <w:tblGrid>
        <w:gridCol w:w="852"/>
        <w:gridCol w:w="2419"/>
        <w:gridCol w:w="2258"/>
        <w:gridCol w:w="162"/>
        <w:gridCol w:w="2248"/>
        <w:gridCol w:w="2912"/>
        <w:gridCol w:w="2460"/>
        <w:gridCol w:w="2460"/>
      </w:tblGrid>
      <w:tr w:rsidR="00C066BE" w:rsidRPr="00C066BE" w:rsidTr="00C066BE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C066BE" w:rsidRPr="00C066BE" w:rsidTr="00C066BE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066BE" w:rsidRPr="00C066BE" w:rsidTr="00C066B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6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 2019 года к </w:t>
            </w: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полугодие 2018 года, %</w:t>
            </w:r>
          </w:p>
        </w:tc>
        <w:tc>
          <w:tcPr>
            <w:tcW w:w="4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%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 </w:t>
            </w:r>
          </w:p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 </w:t>
            </w:r>
          </w:p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 </w:t>
            </w:r>
          </w:p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C066BE" w:rsidRPr="00C066BE" w:rsidTr="00C066BE">
        <w:trPr>
          <w:trHeight w:val="33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8148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55,8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48"/>
        <w:gridCol w:w="1198"/>
        <w:gridCol w:w="1053"/>
        <w:gridCol w:w="121"/>
        <w:gridCol w:w="932"/>
        <w:gridCol w:w="202"/>
        <w:gridCol w:w="836"/>
        <w:gridCol w:w="440"/>
        <w:gridCol w:w="1275"/>
        <w:gridCol w:w="800"/>
        <w:gridCol w:w="334"/>
        <w:gridCol w:w="930"/>
        <w:gridCol w:w="182"/>
        <w:gridCol w:w="831"/>
        <w:gridCol w:w="467"/>
        <w:gridCol w:w="1148"/>
        <w:gridCol w:w="553"/>
        <w:gridCol w:w="1559"/>
      </w:tblGrid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C066BE" w:rsidRPr="00C066BE" w:rsidTr="007926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BE" w:rsidRPr="00C066BE" w:rsidTr="007926A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BE" w:rsidRPr="00C066BE" w:rsidTr="007926A9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6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C066BE" w:rsidRPr="00C066BE" w:rsidTr="007926A9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 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01.07.18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01.07.18,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01.01.19,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6BE" w:rsidRPr="00C066BE" w:rsidTr="007926A9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01.07.19-01.07.18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01.07.19-01.01.19</w:t>
            </w:r>
          </w:p>
        </w:tc>
      </w:tr>
      <w:tr w:rsidR="00C066BE" w:rsidRPr="00C066BE" w:rsidTr="007926A9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66BE" w:rsidRPr="00C066BE" w:rsidTr="007926A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</w:tr>
      <w:tr w:rsidR="00C066BE" w:rsidRPr="00C066BE" w:rsidTr="007926A9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C066BE" w:rsidRPr="00C066BE" w:rsidTr="007926A9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BE" w:rsidRPr="00C066BE" w:rsidRDefault="00C066BE" w:rsidP="00C0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A5" w:rsidRDefault="00A31BCE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48775" cy="6381750"/>
            <wp:effectExtent l="0" t="0" r="9525" b="0"/>
            <wp:docPr id="8" name="Рисунок 8" descr="C:\Users\lyd_anl\Desktop\Екатерина\АНАЛИЗ\2019\Анализ 1 полуг_2019\шайба 1 полуг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Екатерина\АНАЛИЗ\2019\Анализ 1 полуг_2019\шайба 1 полуг 20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Pr="00F35072" w:rsidRDefault="00A31B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9C41A4" wp14:editId="2D8F064C">
            <wp:extent cx="9235288" cy="6162675"/>
            <wp:effectExtent l="0" t="0" r="4445" b="0"/>
            <wp:docPr id="6" name="Рисунок 6" descr="C:\Users\lyd_anl\Desktop\скрин\Скриншот 03-07-2019 105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07-2019 10593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346" cy="61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DB" w:rsidRDefault="008754DB">
      <w:pPr>
        <w:spacing w:after="0" w:line="240" w:lineRule="auto"/>
      </w:pPr>
      <w:r>
        <w:separator/>
      </w:r>
    </w:p>
  </w:endnote>
  <w:endnote w:type="continuationSeparator" w:id="0">
    <w:p w:rsidR="008754DB" w:rsidRDefault="0087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DB" w:rsidRDefault="008754DB">
      <w:pPr>
        <w:spacing w:after="0" w:line="240" w:lineRule="auto"/>
      </w:pPr>
      <w:r>
        <w:separator/>
      </w:r>
    </w:p>
  </w:footnote>
  <w:footnote w:type="continuationSeparator" w:id="0">
    <w:p w:rsidR="008754DB" w:rsidRDefault="0087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BE" w:rsidRDefault="00115D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DBE" w:rsidRDefault="00115D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BE" w:rsidRDefault="00115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2A8B">
      <w:rPr>
        <w:noProof/>
      </w:rPr>
      <w:t>25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BE" w:rsidRDefault="00115DBE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3D4A"/>
    <w:rsid w:val="0000453E"/>
    <w:rsid w:val="00004AA4"/>
    <w:rsid w:val="00007088"/>
    <w:rsid w:val="0001053C"/>
    <w:rsid w:val="00011017"/>
    <w:rsid w:val="000121B2"/>
    <w:rsid w:val="00012231"/>
    <w:rsid w:val="0001666A"/>
    <w:rsid w:val="0002033F"/>
    <w:rsid w:val="0002272C"/>
    <w:rsid w:val="00022C84"/>
    <w:rsid w:val="00024F53"/>
    <w:rsid w:val="00025178"/>
    <w:rsid w:val="0002573C"/>
    <w:rsid w:val="00025B9A"/>
    <w:rsid w:val="00027041"/>
    <w:rsid w:val="00030CB9"/>
    <w:rsid w:val="00031B68"/>
    <w:rsid w:val="00032153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F26"/>
    <w:rsid w:val="0004430A"/>
    <w:rsid w:val="00045C75"/>
    <w:rsid w:val="00051C36"/>
    <w:rsid w:val="00051E8C"/>
    <w:rsid w:val="00052134"/>
    <w:rsid w:val="00052555"/>
    <w:rsid w:val="00053641"/>
    <w:rsid w:val="00054795"/>
    <w:rsid w:val="000561BA"/>
    <w:rsid w:val="00056347"/>
    <w:rsid w:val="00063496"/>
    <w:rsid w:val="00063A23"/>
    <w:rsid w:val="00064039"/>
    <w:rsid w:val="00065BB6"/>
    <w:rsid w:val="00065BFF"/>
    <w:rsid w:val="00066BFE"/>
    <w:rsid w:val="00071375"/>
    <w:rsid w:val="00072829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65BE"/>
    <w:rsid w:val="00090955"/>
    <w:rsid w:val="00090B48"/>
    <w:rsid w:val="00090DA2"/>
    <w:rsid w:val="00091678"/>
    <w:rsid w:val="00094222"/>
    <w:rsid w:val="00094635"/>
    <w:rsid w:val="000A0534"/>
    <w:rsid w:val="000A283D"/>
    <w:rsid w:val="000A4DB7"/>
    <w:rsid w:val="000A6A58"/>
    <w:rsid w:val="000C1DA5"/>
    <w:rsid w:val="000C2F23"/>
    <w:rsid w:val="000C4B0E"/>
    <w:rsid w:val="000C6C70"/>
    <w:rsid w:val="000D2F0E"/>
    <w:rsid w:val="000D3F2A"/>
    <w:rsid w:val="000D44A2"/>
    <w:rsid w:val="000D7C9B"/>
    <w:rsid w:val="000E00F7"/>
    <w:rsid w:val="000E0438"/>
    <w:rsid w:val="000E1C8E"/>
    <w:rsid w:val="000E30D7"/>
    <w:rsid w:val="000E526B"/>
    <w:rsid w:val="000E5E5F"/>
    <w:rsid w:val="000E6F2D"/>
    <w:rsid w:val="000F331B"/>
    <w:rsid w:val="000F3584"/>
    <w:rsid w:val="000F4525"/>
    <w:rsid w:val="000F7464"/>
    <w:rsid w:val="001000FA"/>
    <w:rsid w:val="0010241C"/>
    <w:rsid w:val="00102C03"/>
    <w:rsid w:val="0010347F"/>
    <w:rsid w:val="001035B4"/>
    <w:rsid w:val="00113612"/>
    <w:rsid w:val="00113BD2"/>
    <w:rsid w:val="001146CD"/>
    <w:rsid w:val="00114942"/>
    <w:rsid w:val="00115516"/>
    <w:rsid w:val="001159AC"/>
    <w:rsid w:val="00115DBE"/>
    <w:rsid w:val="00115F46"/>
    <w:rsid w:val="00117D55"/>
    <w:rsid w:val="00120727"/>
    <w:rsid w:val="00120B6A"/>
    <w:rsid w:val="0012152A"/>
    <w:rsid w:val="00122715"/>
    <w:rsid w:val="00124E73"/>
    <w:rsid w:val="001255CB"/>
    <w:rsid w:val="001270C8"/>
    <w:rsid w:val="00127391"/>
    <w:rsid w:val="00133BE1"/>
    <w:rsid w:val="0013495B"/>
    <w:rsid w:val="00137FCA"/>
    <w:rsid w:val="00141B07"/>
    <w:rsid w:val="00143B20"/>
    <w:rsid w:val="001472D4"/>
    <w:rsid w:val="00150399"/>
    <w:rsid w:val="001511F6"/>
    <w:rsid w:val="001524DA"/>
    <w:rsid w:val="00152B4B"/>
    <w:rsid w:val="00153F5A"/>
    <w:rsid w:val="0016011F"/>
    <w:rsid w:val="0016034F"/>
    <w:rsid w:val="001613B3"/>
    <w:rsid w:val="00165401"/>
    <w:rsid w:val="001667D4"/>
    <w:rsid w:val="00171376"/>
    <w:rsid w:val="00171AEB"/>
    <w:rsid w:val="001753AF"/>
    <w:rsid w:val="0017560F"/>
    <w:rsid w:val="00176F17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B55"/>
    <w:rsid w:val="001B1D88"/>
    <w:rsid w:val="001B4482"/>
    <w:rsid w:val="001B4AEE"/>
    <w:rsid w:val="001B4F2A"/>
    <w:rsid w:val="001C0CA9"/>
    <w:rsid w:val="001C145D"/>
    <w:rsid w:val="001C2908"/>
    <w:rsid w:val="001C2DEC"/>
    <w:rsid w:val="001C370A"/>
    <w:rsid w:val="001C586D"/>
    <w:rsid w:val="001C6D91"/>
    <w:rsid w:val="001C7845"/>
    <w:rsid w:val="001D00FD"/>
    <w:rsid w:val="001D0E9A"/>
    <w:rsid w:val="001D1758"/>
    <w:rsid w:val="001D5771"/>
    <w:rsid w:val="001D7FD3"/>
    <w:rsid w:val="001E0E89"/>
    <w:rsid w:val="001E4C72"/>
    <w:rsid w:val="001E4FBA"/>
    <w:rsid w:val="001E5294"/>
    <w:rsid w:val="001E73C1"/>
    <w:rsid w:val="001F02F7"/>
    <w:rsid w:val="001F0F3B"/>
    <w:rsid w:val="001F1D47"/>
    <w:rsid w:val="001F333A"/>
    <w:rsid w:val="001F3833"/>
    <w:rsid w:val="001F48F6"/>
    <w:rsid w:val="001F5D4E"/>
    <w:rsid w:val="001F6C76"/>
    <w:rsid w:val="001F7095"/>
    <w:rsid w:val="001F7C18"/>
    <w:rsid w:val="002038F3"/>
    <w:rsid w:val="002059C6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3B6F"/>
    <w:rsid w:val="00224FCD"/>
    <w:rsid w:val="00225A12"/>
    <w:rsid w:val="00227FAD"/>
    <w:rsid w:val="002317EF"/>
    <w:rsid w:val="002319D2"/>
    <w:rsid w:val="00232215"/>
    <w:rsid w:val="0023303D"/>
    <w:rsid w:val="00233348"/>
    <w:rsid w:val="00235633"/>
    <w:rsid w:val="00237C41"/>
    <w:rsid w:val="00243AC7"/>
    <w:rsid w:val="002441CA"/>
    <w:rsid w:val="00245867"/>
    <w:rsid w:val="00245DE5"/>
    <w:rsid w:val="00246673"/>
    <w:rsid w:val="0024686B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2DD6"/>
    <w:rsid w:val="002742A4"/>
    <w:rsid w:val="00274854"/>
    <w:rsid w:val="00280102"/>
    <w:rsid w:val="0028014F"/>
    <w:rsid w:val="00282B7D"/>
    <w:rsid w:val="0028415F"/>
    <w:rsid w:val="0028663E"/>
    <w:rsid w:val="00291FC0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3E0A"/>
    <w:rsid w:val="002C4D87"/>
    <w:rsid w:val="002C6A43"/>
    <w:rsid w:val="002C716B"/>
    <w:rsid w:val="002D0B88"/>
    <w:rsid w:val="002D2086"/>
    <w:rsid w:val="002D3A37"/>
    <w:rsid w:val="002D4466"/>
    <w:rsid w:val="002D4F06"/>
    <w:rsid w:val="002D684D"/>
    <w:rsid w:val="002D7A0D"/>
    <w:rsid w:val="002E2231"/>
    <w:rsid w:val="002E5A08"/>
    <w:rsid w:val="002F01B7"/>
    <w:rsid w:val="002F3C1E"/>
    <w:rsid w:val="002F74CC"/>
    <w:rsid w:val="003016B0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4D58"/>
    <w:rsid w:val="00317912"/>
    <w:rsid w:val="0032082B"/>
    <w:rsid w:val="00321627"/>
    <w:rsid w:val="00326655"/>
    <w:rsid w:val="00326FA0"/>
    <w:rsid w:val="00331E39"/>
    <w:rsid w:val="00331FED"/>
    <w:rsid w:val="00332E1B"/>
    <w:rsid w:val="00334441"/>
    <w:rsid w:val="003345A9"/>
    <w:rsid w:val="003353F6"/>
    <w:rsid w:val="00336299"/>
    <w:rsid w:val="00336BEC"/>
    <w:rsid w:val="00340B7E"/>
    <w:rsid w:val="003459C1"/>
    <w:rsid w:val="003467E1"/>
    <w:rsid w:val="0034772D"/>
    <w:rsid w:val="0035238B"/>
    <w:rsid w:val="003544A8"/>
    <w:rsid w:val="00355C2F"/>
    <w:rsid w:val="00357016"/>
    <w:rsid w:val="003575EB"/>
    <w:rsid w:val="003651EB"/>
    <w:rsid w:val="00365E65"/>
    <w:rsid w:val="003677D3"/>
    <w:rsid w:val="0036784D"/>
    <w:rsid w:val="00367C4D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DA6"/>
    <w:rsid w:val="003905BF"/>
    <w:rsid w:val="003909A8"/>
    <w:rsid w:val="00391666"/>
    <w:rsid w:val="0039191F"/>
    <w:rsid w:val="003926C3"/>
    <w:rsid w:val="00395703"/>
    <w:rsid w:val="00396494"/>
    <w:rsid w:val="00396AC2"/>
    <w:rsid w:val="003A0DA8"/>
    <w:rsid w:val="003A1FE1"/>
    <w:rsid w:val="003A4FF9"/>
    <w:rsid w:val="003A6B80"/>
    <w:rsid w:val="003A6C32"/>
    <w:rsid w:val="003A73B9"/>
    <w:rsid w:val="003B47C5"/>
    <w:rsid w:val="003B605D"/>
    <w:rsid w:val="003B7E68"/>
    <w:rsid w:val="003C17A5"/>
    <w:rsid w:val="003C248D"/>
    <w:rsid w:val="003C4B40"/>
    <w:rsid w:val="003C4B52"/>
    <w:rsid w:val="003C4C8A"/>
    <w:rsid w:val="003C66AA"/>
    <w:rsid w:val="003C792C"/>
    <w:rsid w:val="003D3522"/>
    <w:rsid w:val="003D49E1"/>
    <w:rsid w:val="003D70EF"/>
    <w:rsid w:val="003E52CB"/>
    <w:rsid w:val="003E644E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63CD"/>
    <w:rsid w:val="00406C98"/>
    <w:rsid w:val="00410492"/>
    <w:rsid w:val="00411096"/>
    <w:rsid w:val="004135D0"/>
    <w:rsid w:val="0041373B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4037B"/>
    <w:rsid w:val="004414D0"/>
    <w:rsid w:val="004435E8"/>
    <w:rsid w:val="004443C4"/>
    <w:rsid w:val="00444ABE"/>
    <w:rsid w:val="00445A32"/>
    <w:rsid w:val="004479DF"/>
    <w:rsid w:val="0045089C"/>
    <w:rsid w:val="004513E7"/>
    <w:rsid w:val="0045142E"/>
    <w:rsid w:val="00452CAB"/>
    <w:rsid w:val="00456A18"/>
    <w:rsid w:val="004607D3"/>
    <w:rsid w:val="00461CDC"/>
    <w:rsid w:val="0046236E"/>
    <w:rsid w:val="00462892"/>
    <w:rsid w:val="00464958"/>
    <w:rsid w:val="0046572A"/>
    <w:rsid w:val="00465962"/>
    <w:rsid w:val="0047115E"/>
    <w:rsid w:val="00471572"/>
    <w:rsid w:val="00472FBC"/>
    <w:rsid w:val="004736E8"/>
    <w:rsid w:val="00474C10"/>
    <w:rsid w:val="00476174"/>
    <w:rsid w:val="00477BE5"/>
    <w:rsid w:val="00480411"/>
    <w:rsid w:val="0048099E"/>
    <w:rsid w:val="00484B1C"/>
    <w:rsid w:val="00485E02"/>
    <w:rsid w:val="0048665F"/>
    <w:rsid w:val="00487366"/>
    <w:rsid w:val="004878A0"/>
    <w:rsid w:val="00490113"/>
    <w:rsid w:val="0049044E"/>
    <w:rsid w:val="004913B2"/>
    <w:rsid w:val="004929A3"/>
    <w:rsid w:val="00492B2E"/>
    <w:rsid w:val="004936E3"/>
    <w:rsid w:val="00493F92"/>
    <w:rsid w:val="00494C4E"/>
    <w:rsid w:val="00497918"/>
    <w:rsid w:val="004A0BE6"/>
    <w:rsid w:val="004A2A65"/>
    <w:rsid w:val="004A470C"/>
    <w:rsid w:val="004A51EC"/>
    <w:rsid w:val="004A5E9E"/>
    <w:rsid w:val="004A6F59"/>
    <w:rsid w:val="004B5C15"/>
    <w:rsid w:val="004B5D5E"/>
    <w:rsid w:val="004B6A52"/>
    <w:rsid w:val="004B7C35"/>
    <w:rsid w:val="004C20FB"/>
    <w:rsid w:val="004C2CBE"/>
    <w:rsid w:val="004C42DF"/>
    <w:rsid w:val="004C51A2"/>
    <w:rsid w:val="004C55E9"/>
    <w:rsid w:val="004C6053"/>
    <w:rsid w:val="004C67AC"/>
    <w:rsid w:val="004D0233"/>
    <w:rsid w:val="004D5660"/>
    <w:rsid w:val="004D5907"/>
    <w:rsid w:val="004D5B82"/>
    <w:rsid w:val="004D65D0"/>
    <w:rsid w:val="004D725F"/>
    <w:rsid w:val="004D7B92"/>
    <w:rsid w:val="004E0E4D"/>
    <w:rsid w:val="004E45A3"/>
    <w:rsid w:val="004E4CB8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11CC"/>
    <w:rsid w:val="00512056"/>
    <w:rsid w:val="0051450F"/>
    <w:rsid w:val="00514C2F"/>
    <w:rsid w:val="00517B25"/>
    <w:rsid w:val="00520F2F"/>
    <w:rsid w:val="00521F21"/>
    <w:rsid w:val="00523263"/>
    <w:rsid w:val="005236B6"/>
    <w:rsid w:val="0052772E"/>
    <w:rsid w:val="005308A1"/>
    <w:rsid w:val="005318E4"/>
    <w:rsid w:val="00532A6D"/>
    <w:rsid w:val="0053461D"/>
    <w:rsid w:val="00534847"/>
    <w:rsid w:val="00536B3F"/>
    <w:rsid w:val="005371D9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454E"/>
    <w:rsid w:val="005561CF"/>
    <w:rsid w:val="00556920"/>
    <w:rsid w:val="00561B99"/>
    <w:rsid w:val="0056272E"/>
    <w:rsid w:val="00562D4D"/>
    <w:rsid w:val="00564D1E"/>
    <w:rsid w:val="005654B7"/>
    <w:rsid w:val="005656F7"/>
    <w:rsid w:val="00570D92"/>
    <w:rsid w:val="00572223"/>
    <w:rsid w:val="00572EB4"/>
    <w:rsid w:val="005738A3"/>
    <w:rsid w:val="005745E9"/>
    <w:rsid w:val="00575E0E"/>
    <w:rsid w:val="005771CD"/>
    <w:rsid w:val="00577502"/>
    <w:rsid w:val="0057787C"/>
    <w:rsid w:val="005802DE"/>
    <w:rsid w:val="00582E0C"/>
    <w:rsid w:val="00583394"/>
    <w:rsid w:val="005849FC"/>
    <w:rsid w:val="00585257"/>
    <w:rsid w:val="00586A30"/>
    <w:rsid w:val="005872DE"/>
    <w:rsid w:val="0058736C"/>
    <w:rsid w:val="005903F3"/>
    <w:rsid w:val="005961CD"/>
    <w:rsid w:val="00597E26"/>
    <w:rsid w:val="005A17B2"/>
    <w:rsid w:val="005A5E3F"/>
    <w:rsid w:val="005A6220"/>
    <w:rsid w:val="005B062F"/>
    <w:rsid w:val="005B390E"/>
    <w:rsid w:val="005B404A"/>
    <w:rsid w:val="005B4C0B"/>
    <w:rsid w:val="005B4D21"/>
    <w:rsid w:val="005B5FA3"/>
    <w:rsid w:val="005B7069"/>
    <w:rsid w:val="005C06B9"/>
    <w:rsid w:val="005C352F"/>
    <w:rsid w:val="005C454B"/>
    <w:rsid w:val="005C6972"/>
    <w:rsid w:val="005C6C54"/>
    <w:rsid w:val="005D11F1"/>
    <w:rsid w:val="005D1A58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60091F"/>
    <w:rsid w:val="00602779"/>
    <w:rsid w:val="00604C58"/>
    <w:rsid w:val="00604E70"/>
    <w:rsid w:val="00605080"/>
    <w:rsid w:val="00607159"/>
    <w:rsid w:val="00611EC3"/>
    <w:rsid w:val="00613098"/>
    <w:rsid w:val="00613FDA"/>
    <w:rsid w:val="006143B8"/>
    <w:rsid w:val="00615441"/>
    <w:rsid w:val="0061724E"/>
    <w:rsid w:val="00621B37"/>
    <w:rsid w:val="006230B9"/>
    <w:rsid w:val="00623369"/>
    <w:rsid w:val="00626DF3"/>
    <w:rsid w:val="00627A28"/>
    <w:rsid w:val="00630DC6"/>
    <w:rsid w:val="0063157A"/>
    <w:rsid w:val="006327BC"/>
    <w:rsid w:val="006347AD"/>
    <w:rsid w:val="00640653"/>
    <w:rsid w:val="00640A43"/>
    <w:rsid w:val="00641FEE"/>
    <w:rsid w:val="00642BE1"/>
    <w:rsid w:val="006434E0"/>
    <w:rsid w:val="006442B8"/>
    <w:rsid w:val="00644E02"/>
    <w:rsid w:val="00645E49"/>
    <w:rsid w:val="00651029"/>
    <w:rsid w:val="00651938"/>
    <w:rsid w:val="00653B91"/>
    <w:rsid w:val="00656B30"/>
    <w:rsid w:val="00657320"/>
    <w:rsid w:val="00660560"/>
    <w:rsid w:val="00660D32"/>
    <w:rsid w:val="0066151F"/>
    <w:rsid w:val="006642C0"/>
    <w:rsid w:val="00664449"/>
    <w:rsid w:val="00665568"/>
    <w:rsid w:val="0066644A"/>
    <w:rsid w:val="006668D9"/>
    <w:rsid w:val="0067143B"/>
    <w:rsid w:val="00675B04"/>
    <w:rsid w:val="006818A5"/>
    <w:rsid w:val="00681C23"/>
    <w:rsid w:val="00682EF5"/>
    <w:rsid w:val="006862B6"/>
    <w:rsid w:val="00686FF3"/>
    <w:rsid w:val="00687AF0"/>
    <w:rsid w:val="00694123"/>
    <w:rsid w:val="00695E6B"/>
    <w:rsid w:val="006A0D4B"/>
    <w:rsid w:val="006A2761"/>
    <w:rsid w:val="006A5D82"/>
    <w:rsid w:val="006A795A"/>
    <w:rsid w:val="006B042D"/>
    <w:rsid w:val="006B0CCE"/>
    <w:rsid w:val="006B2F25"/>
    <w:rsid w:val="006B3809"/>
    <w:rsid w:val="006B3FF8"/>
    <w:rsid w:val="006B4EB5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E1332"/>
    <w:rsid w:val="006E3551"/>
    <w:rsid w:val="006E63AC"/>
    <w:rsid w:val="006E68D4"/>
    <w:rsid w:val="006E75D2"/>
    <w:rsid w:val="006F005A"/>
    <w:rsid w:val="006F0A40"/>
    <w:rsid w:val="006F125B"/>
    <w:rsid w:val="006F5DF9"/>
    <w:rsid w:val="00701F95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20FBD"/>
    <w:rsid w:val="00722F0A"/>
    <w:rsid w:val="00723194"/>
    <w:rsid w:val="00723F84"/>
    <w:rsid w:val="00724BB0"/>
    <w:rsid w:val="00725612"/>
    <w:rsid w:val="00725FC6"/>
    <w:rsid w:val="00727122"/>
    <w:rsid w:val="007275A1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3433"/>
    <w:rsid w:val="0075091F"/>
    <w:rsid w:val="007536C3"/>
    <w:rsid w:val="00755342"/>
    <w:rsid w:val="00756E81"/>
    <w:rsid w:val="00760D49"/>
    <w:rsid w:val="007628B0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926A9"/>
    <w:rsid w:val="0079347A"/>
    <w:rsid w:val="00796B89"/>
    <w:rsid w:val="007972E1"/>
    <w:rsid w:val="007A660E"/>
    <w:rsid w:val="007A6AB8"/>
    <w:rsid w:val="007A769C"/>
    <w:rsid w:val="007A77F8"/>
    <w:rsid w:val="007B0195"/>
    <w:rsid w:val="007B1845"/>
    <w:rsid w:val="007B21C4"/>
    <w:rsid w:val="007B3A71"/>
    <w:rsid w:val="007B535F"/>
    <w:rsid w:val="007B5625"/>
    <w:rsid w:val="007B5C41"/>
    <w:rsid w:val="007C062A"/>
    <w:rsid w:val="007C2530"/>
    <w:rsid w:val="007C477D"/>
    <w:rsid w:val="007C5643"/>
    <w:rsid w:val="007C60F8"/>
    <w:rsid w:val="007C76B3"/>
    <w:rsid w:val="007C7B77"/>
    <w:rsid w:val="007D167E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78E8"/>
    <w:rsid w:val="00811AE2"/>
    <w:rsid w:val="00811E3E"/>
    <w:rsid w:val="008177B5"/>
    <w:rsid w:val="00822EAC"/>
    <w:rsid w:val="008254FC"/>
    <w:rsid w:val="00825F32"/>
    <w:rsid w:val="008335E6"/>
    <w:rsid w:val="00835164"/>
    <w:rsid w:val="008400C3"/>
    <w:rsid w:val="008407AE"/>
    <w:rsid w:val="00840E8A"/>
    <w:rsid w:val="00842603"/>
    <w:rsid w:val="008435FD"/>
    <w:rsid w:val="00844224"/>
    <w:rsid w:val="00851227"/>
    <w:rsid w:val="00855CE1"/>
    <w:rsid w:val="00861A9D"/>
    <w:rsid w:val="00863351"/>
    <w:rsid w:val="008704A2"/>
    <w:rsid w:val="00870888"/>
    <w:rsid w:val="0087106E"/>
    <w:rsid w:val="00874A0E"/>
    <w:rsid w:val="00874A99"/>
    <w:rsid w:val="0087531A"/>
    <w:rsid w:val="008754DB"/>
    <w:rsid w:val="008756CC"/>
    <w:rsid w:val="00876163"/>
    <w:rsid w:val="00876E92"/>
    <w:rsid w:val="00877FCD"/>
    <w:rsid w:val="0088040B"/>
    <w:rsid w:val="008827EF"/>
    <w:rsid w:val="00883543"/>
    <w:rsid w:val="00883F1E"/>
    <w:rsid w:val="0088429A"/>
    <w:rsid w:val="00884DA7"/>
    <w:rsid w:val="00885DC9"/>
    <w:rsid w:val="0089233B"/>
    <w:rsid w:val="00893D24"/>
    <w:rsid w:val="0089400E"/>
    <w:rsid w:val="00894FBD"/>
    <w:rsid w:val="008A10E2"/>
    <w:rsid w:val="008A14DE"/>
    <w:rsid w:val="008A1947"/>
    <w:rsid w:val="008A2786"/>
    <w:rsid w:val="008A44FD"/>
    <w:rsid w:val="008A6366"/>
    <w:rsid w:val="008A7776"/>
    <w:rsid w:val="008A79D5"/>
    <w:rsid w:val="008B1C64"/>
    <w:rsid w:val="008B3711"/>
    <w:rsid w:val="008B51ED"/>
    <w:rsid w:val="008B5877"/>
    <w:rsid w:val="008B5CE3"/>
    <w:rsid w:val="008B7F4A"/>
    <w:rsid w:val="008C09A7"/>
    <w:rsid w:val="008C2EC4"/>
    <w:rsid w:val="008C5111"/>
    <w:rsid w:val="008C5372"/>
    <w:rsid w:val="008C5E8B"/>
    <w:rsid w:val="008C6C36"/>
    <w:rsid w:val="008C6F89"/>
    <w:rsid w:val="008D571B"/>
    <w:rsid w:val="008D7621"/>
    <w:rsid w:val="008D7902"/>
    <w:rsid w:val="008E2FD8"/>
    <w:rsid w:val="008E4B7E"/>
    <w:rsid w:val="008E69C7"/>
    <w:rsid w:val="008E6EBD"/>
    <w:rsid w:val="008F1C3F"/>
    <w:rsid w:val="008F29A9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513"/>
    <w:rsid w:val="00910704"/>
    <w:rsid w:val="00910DF6"/>
    <w:rsid w:val="00911713"/>
    <w:rsid w:val="00911C54"/>
    <w:rsid w:val="00917BB6"/>
    <w:rsid w:val="009207AD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71DA"/>
    <w:rsid w:val="00957E56"/>
    <w:rsid w:val="00963C7E"/>
    <w:rsid w:val="00965D97"/>
    <w:rsid w:val="00966A93"/>
    <w:rsid w:val="00967106"/>
    <w:rsid w:val="009702BA"/>
    <w:rsid w:val="00970886"/>
    <w:rsid w:val="00971060"/>
    <w:rsid w:val="009711B2"/>
    <w:rsid w:val="00971E6D"/>
    <w:rsid w:val="00972835"/>
    <w:rsid w:val="00972F13"/>
    <w:rsid w:val="0097648B"/>
    <w:rsid w:val="00977B12"/>
    <w:rsid w:val="00981717"/>
    <w:rsid w:val="009823FB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A1791"/>
    <w:rsid w:val="009A1D46"/>
    <w:rsid w:val="009A32F4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5F25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27A8"/>
    <w:rsid w:val="009E2D35"/>
    <w:rsid w:val="009E2F90"/>
    <w:rsid w:val="009E3BAA"/>
    <w:rsid w:val="009E534A"/>
    <w:rsid w:val="009E5D22"/>
    <w:rsid w:val="009E5F88"/>
    <w:rsid w:val="009E725E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32D4"/>
    <w:rsid w:val="00A070DC"/>
    <w:rsid w:val="00A1047E"/>
    <w:rsid w:val="00A159B5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1BCE"/>
    <w:rsid w:val="00A32FAA"/>
    <w:rsid w:val="00A33A5A"/>
    <w:rsid w:val="00A33F44"/>
    <w:rsid w:val="00A41C31"/>
    <w:rsid w:val="00A42412"/>
    <w:rsid w:val="00A42975"/>
    <w:rsid w:val="00A43A5B"/>
    <w:rsid w:val="00A440F8"/>
    <w:rsid w:val="00A44B4F"/>
    <w:rsid w:val="00A44FCF"/>
    <w:rsid w:val="00A45413"/>
    <w:rsid w:val="00A45EC3"/>
    <w:rsid w:val="00A47BC4"/>
    <w:rsid w:val="00A47C76"/>
    <w:rsid w:val="00A5202B"/>
    <w:rsid w:val="00A5623A"/>
    <w:rsid w:val="00A565FD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2041"/>
    <w:rsid w:val="00A93AB3"/>
    <w:rsid w:val="00A95A84"/>
    <w:rsid w:val="00A95D40"/>
    <w:rsid w:val="00AA3AFC"/>
    <w:rsid w:val="00AA51C0"/>
    <w:rsid w:val="00AA574D"/>
    <w:rsid w:val="00AA57DA"/>
    <w:rsid w:val="00AA5D0E"/>
    <w:rsid w:val="00AA7E94"/>
    <w:rsid w:val="00AB0808"/>
    <w:rsid w:val="00AB0AE2"/>
    <w:rsid w:val="00AB310B"/>
    <w:rsid w:val="00AB3787"/>
    <w:rsid w:val="00AB4A3D"/>
    <w:rsid w:val="00AC1FDF"/>
    <w:rsid w:val="00AC2BB0"/>
    <w:rsid w:val="00AC498F"/>
    <w:rsid w:val="00AC5464"/>
    <w:rsid w:val="00AC68AA"/>
    <w:rsid w:val="00AC7114"/>
    <w:rsid w:val="00AD1194"/>
    <w:rsid w:val="00AD4ADB"/>
    <w:rsid w:val="00AD56D5"/>
    <w:rsid w:val="00AD6BEF"/>
    <w:rsid w:val="00AD7FB3"/>
    <w:rsid w:val="00AE1C18"/>
    <w:rsid w:val="00AE1F97"/>
    <w:rsid w:val="00AE3D04"/>
    <w:rsid w:val="00AE7FEE"/>
    <w:rsid w:val="00AF028F"/>
    <w:rsid w:val="00AF3075"/>
    <w:rsid w:val="00AF4B2C"/>
    <w:rsid w:val="00AF5C52"/>
    <w:rsid w:val="00AF6705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6A8E"/>
    <w:rsid w:val="00B16BBD"/>
    <w:rsid w:val="00B172B2"/>
    <w:rsid w:val="00B2062F"/>
    <w:rsid w:val="00B2147D"/>
    <w:rsid w:val="00B21B03"/>
    <w:rsid w:val="00B3061A"/>
    <w:rsid w:val="00B307A1"/>
    <w:rsid w:val="00B309BE"/>
    <w:rsid w:val="00B333C3"/>
    <w:rsid w:val="00B3498C"/>
    <w:rsid w:val="00B34E42"/>
    <w:rsid w:val="00B35447"/>
    <w:rsid w:val="00B35452"/>
    <w:rsid w:val="00B42F65"/>
    <w:rsid w:val="00B45231"/>
    <w:rsid w:val="00B47947"/>
    <w:rsid w:val="00B50093"/>
    <w:rsid w:val="00B528D0"/>
    <w:rsid w:val="00B52B8F"/>
    <w:rsid w:val="00B5306F"/>
    <w:rsid w:val="00B53498"/>
    <w:rsid w:val="00B5489F"/>
    <w:rsid w:val="00B56519"/>
    <w:rsid w:val="00B573B5"/>
    <w:rsid w:val="00B578F5"/>
    <w:rsid w:val="00B57B59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1DDD"/>
    <w:rsid w:val="00BA318C"/>
    <w:rsid w:val="00BA7724"/>
    <w:rsid w:val="00BA7815"/>
    <w:rsid w:val="00BB3391"/>
    <w:rsid w:val="00BB5B87"/>
    <w:rsid w:val="00BB7ED6"/>
    <w:rsid w:val="00BC0250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531"/>
    <w:rsid w:val="00C03D05"/>
    <w:rsid w:val="00C050B2"/>
    <w:rsid w:val="00C050D3"/>
    <w:rsid w:val="00C05A09"/>
    <w:rsid w:val="00C066BE"/>
    <w:rsid w:val="00C079C6"/>
    <w:rsid w:val="00C07E9A"/>
    <w:rsid w:val="00C104D0"/>
    <w:rsid w:val="00C1107E"/>
    <w:rsid w:val="00C118D2"/>
    <w:rsid w:val="00C13904"/>
    <w:rsid w:val="00C151CC"/>
    <w:rsid w:val="00C162F7"/>
    <w:rsid w:val="00C16620"/>
    <w:rsid w:val="00C20AC8"/>
    <w:rsid w:val="00C20C04"/>
    <w:rsid w:val="00C268B8"/>
    <w:rsid w:val="00C278C6"/>
    <w:rsid w:val="00C279F5"/>
    <w:rsid w:val="00C30429"/>
    <w:rsid w:val="00C3151F"/>
    <w:rsid w:val="00C32C00"/>
    <w:rsid w:val="00C33B21"/>
    <w:rsid w:val="00C34B67"/>
    <w:rsid w:val="00C35ED6"/>
    <w:rsid w:val="00C40A20"/>
    <w:rsid w:val="00C41007"/>
    <w:rsid w:val="00C44DB2"/>
    <w:rsid w:val="00C45293"/>
    <w:rsid w:val="00C461B5"/>
    <w:rsid w:val="00C46C5E"/>
    <w:rsid w:val="00C50731"/>
    <w:rsid w:val="00C51107"/>
    <w:rsid w:val="00C51437"/>
    <w:rsid w:val="00C526CA"/>
    <w:rsid w:val="00C55599"/>
    <w:rsid w:val="00C56F1A"/>
    <w:rsid w:val="00C57161"/>
    <w:rsid w:val="00C57C2B"/>
    <w:rsid w:val="00C619D7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0AC7"/>
    <w:rsid w:val="00C842BE"/>
    <w:rsid w:val="00C86AF3"/>
    <w:rsid w:val="00C90F36"/>
    <w:rsid w:val="00C91E96"/>
    <w:rsid w:val="00C97637"/>
    <w:rsid w:val="00CA2129"/>
    <w:rsid w:val="00CA3069"/>
    <w:rsid w:val="00CA6C2B"/>
    <w:rsid w:val="00CA7DA0"/>
    <w:rsid w:val="00CB17C8"/>
    <w:rsid w:val="00CB311E"/>
    <w:rsid w:val="00CB3B04"/>
    <w:rsid w:val="00CB4E6C"/>
    <w:rsid w:val="00CB56A1"/>
    <w:rsid w:val="00CC0503"/>
    <w:rsid w:val="00CC0A38"/>
    <w:rsid w:val="00CD04D2"/>
    <w:rsid w:val="00CD0839"/>
    <w:rsid w:val="00CD13FB"/>
    <w:rsid w:val="00CD15EC"/>
    <w:rsid w:val="00CD62E7"/>
    <w:rsid w:val="00CD658D"/>
    <w:rsid w:val="00CD7E8F"/>
    <w:rsid w:val="00CE5401"/>
    <w:rsid w:val="00CF0EA3"/>
    <w:rsid w:val="00CF2959"/>
    <w:rsid w:val="00CF3BB4"/>
    <w:rsid w:val="00CF3C0E"/>
    <w:rsid w:val="00CF4276"/>
    <w:rsid w:val="00CF44E1"/>
    <w:rsid w:val="00CF4D64"/>
    <w:rsid w:val="00CF57FE"/>
    <w:rsid w:val="00CF64FA"/>
    <w:rsid w:val="00D06FA3"/>
    <w:rsid w:val="00D07400"/>
    <w:rsid w:val="00D113AE"/>
    <w:rsid w:val="00D11944"/>
    <w:rsid w:val="00D13A1B"/>
    <w:rsid w:val="00D17137"/>
    <w:rsid w:val="00D205ED"/>
    <w:rsid w:val="00D2395E"/>
    <w:rsid w:val="00D2596A"/>
    <w:rsid w:val="00D26C9A"/>
    <w:rsid w:val="00D30CF2"/>
    <w:rsid w:val="00D3494D"/>
    <w:rsid w:val="00D34DC9"/>
    <w:rsid w:val="00D35656"/>
    <w:rsid w:val="00D3595B"/>
    <w:rsid w:val="00D35B6D"/>
    <w:rsid w:val="00D362C1"/>
    <w:rsid w:val="00D379FF"/>
    <w:rsid w:val="00D37CC4"/>
    <w:rsid w:val="00D406E4"/>
    <w:rsid w:val="00D425C2"/>
    <w:rsid w:val="00D426C0"/>
    <w:rsid w:val="00D43019"/>
    <w:rsid w:val="00D50F26"/>
    <w:rsid w:val="00D513DC"/>
    <w:rsid w:val="00D52DE1"/>
    <w:rsid w:val="00D531C7"/>
    <w:rsid w:val="00D61358"/>
    <w:rsid w:val="00D6201B"/>
    <w:rsid w:val="00D6422A"/>
    <w:rsid w:val="00D64D82"/>
    <w:rsid w:val="00D72E78"/>
    <w:rsid w:val="00D75E9C"/>
    <w:rsid w:val="00D763FD"/>
    <w:rsid w:val="00D82561"/>
    <w:rsid w:val="00D82AE3"/>
    <w:rsid w:val="00D830A5"/>
    <w:rsid w:val="00D869B5"/>
    <w:rsid w:val="00D86CE0"/>
    <w:rsid w:val="00D903E9"/>
    <w:rsid w:val="00D93BA6"/>
    <w:rsid w:val="00D943EA"/>
    <w:rsid w:val="00D963D9"/>
    <w:rsid w:val="00D973FA"/>
    <w:rsid w:val="00DA0B48"/>
    <w:rsid w:val="00DA0C32"/>
    <w:rsid w:val="00DA2EEA"/>
    <w:rsid w:val="00DA44A3"/>
    <w:rsid w:val="00DA478A"/>
    <w:rsid w:val="00DA6458"/>
    <w:rsid w:val="00DB00FA"/>
    <w:rsid w:val="00DB277F"/>
    <w:rsid w:val="00DB4835"/>
    <w:rsid w:val="00DB526E"/>
    <w:rsid w:val="00DB52C5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0E65"/>
    <w:rsid w:val="00DD27D4"/>
    <w:rsid w:val="00DD2A82"/>
    <w:rsid w:val="00DD45D1"/>
    <w:rsid w:val="00DD46BD"/>
    <w:rsid w:val="00DD4952"/>
    <w:rsid w:val="00DD4BFB"/>
    <w:rsid w:val="00DD63AB"/>
    <w:rsid w:val="00DD7C71"/>
    <w:rsid w:val="00DE0FE8"/>
    <w:rsid w:val="00DE2AF5"/>
    <w:rsid w:val="00DE3B06"/>
    <w:rsid w:val="00DE6A54"/>
    <w:rsid w:val="00DE7721"/>
    <w:rsid w:val="00DF0BA9"/>
    <w:rsid w:val="00DF167E"/>
    <w:rsid w:val="00DF72A8"/>
    <w:rsid w:val="00E01352"/>
    <w:rsid w:val="00E02A68"/>
    <w:rsid w:val="00E02A8B"/>
    <w:rsid w:val="00E02D99"/>
    <w:rsid w:val="00E03812"/>
    <w:rsid w:val="00E03DB4"/>
    <w:rsid w:val="00E04101"/>
    <w:rsid w:val="00E10188"/>
    <w:rsid w:val="00E15DC4"/>
    <w:rsid w:val="00E161E8"/>
    <w:rsid w:val="00E1729B"/>
    <w:rsid w:val="00E1791D"/>
    <w:rsid w:val="00E20876"/>
    <w:rsid w:val="00E214AF"/>
    <w:rsid w:val="00E221DB"/>
    <w:rsid w:val="00E26EA6"/>
    <w:rsid w:val="00E30BDE"/>
    <w:rsid w:val="00E30C8E"/>
    <w:rsid w:val="00E34090"/>
    <w:rsid w:val="00E3451D"/>
    <w:rsid w:val="00E36F67"/>
    <w:rsid w:val="00E4043A"/>
    <w:rsid w:val="00E40F78"/>
    <w:rsid w:val="00E42722"/>
    <w:rsid w:val="00E43A52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694B"/>
    <w:rsid w:val="00E676DF"/>
    <w:rsid w:val="00E74F0E"/>
    <w:rsid w:val="00E75D8D"/>
    <w:rsid w:val="00E816DC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444C"/>
    <w:rsid w:val="00EA5F3B"/>
    <w:rsid w:val="00EA607E"/>
    <w:rsid w:val="00EA6824"/>
    <w:rsid w:val="00EB1C5E"/>
    <w:rsid w:val="00EB3805"/>
    <w:rsid w:val="00EB3863"/>
    <w:rsid w:val="00EB44F8"/>
    <w:rsid w:val="00EB4F59"/>
    <w:rsid w:val="00EB4F88"/>
    <w:rsid w:val="00EB526A"/>
    <w:rsid w:val="00EB5C38"/>
    <w:rsid w:val="00EB5FAA"/>
    <w:rsid w:val="00EB7643"/>
    <w:rsid w:val="00EC03C0"/>
    <w:rsid w:val="00EC0F72"/>
    <w:rsid w:val="00EC1793"/>
    <w:rsid w:val="00EC2509"/>
    <w:rsid w:val="00EC5467"/>
    <w:rsid w:val="00EC7D90"/>
    <w:rsid w:val="00ED0FC2"/>
    <w:rsid w:val="00ED1E23"/>
    <w:rsid w:val="00ED2426"/>
    <w:rsid w:val="00ED46E2"/>
    <w:rsid w:val="00ED75DE"/>
    <w:rsid w:val="00EE05E2"/>
    <w:rsid w:val="00EE375E"/>
    <w:rsid w:val="00EE387C"/>
    <w:rsid w:val="00EE6417"/>
    <w:rsid w:val="00EF0A6C"/>
    <w:rsid w:val="00EF0CF7"/>
    <w:rsid w:val="00EF1523"/>
    <w:rsid w:val="00EF4FCC"/>
    <w:rsid w:val="00EF4FDD"/>
    <w:rsid w:val="00EF634D"/>
    <w:rsid w:val="00F00746"/>
    <w:rsid w:val="00F00A03"/>
    <w:rsid w:val="00F013F7"/>
    <w:rsid w:val="00F01C08"/>
    <w:rsid w:val="00F02F04"/>
    <w:rsid w:val="00F05CB0"/>
    <w:rsid w:val="00F07734"/>
    <w:rsid w:val="00F07DA1"/>
    <w:rsid w:val="00F07F3F"/>
    <w:rsid w:val="00F152EC"/>
    <w:rsid w:val="00F17281"/>
    <w:rsid w:val="00F216F4"/>
    <w:rsid w:val="00F218DD"/>
    <w:rsid w:val="00F2332C"/>
    <w:rsid w:val="00F251E7"/>
    <w:rsid w:val="00F26603"/>
    <w:rsid w:val="00F3126B"/>
    <w:rsid w:val="00F3127E"/>
    <w:rsid w:val="00F34DC9"/>
    <w:rsid w:val="00F35072"/>
    <w:rsid w:val="00F3607B"/>
    <w:rsid w:val="00F36A78"/>
    <w:rsid w:val="00F37D2E"/>
    <w:rsid w:val="00F37EB5"/>
    <w:rsid w:val="00F431D0"/>
    <w:rsid w:val="00F467E1"/>
    <w:rsid w:val="00F47756"/>
    <w:rsid w:val="00F47835"/>
    <w:rsid w:val="00F47F80"/>
    <w:rsid w:val="00F50403"/>
    <w:rsid w:val="00F5168F"/>
    <w:rsid w:val="00F53379"/>
    <w:rsid w:val="00F53C9D"/>
    <w:rsid w:val="00F53F3C"/>
    <w:rsid w:val="00F54BAB"/>
    <w:rsid w:val="00F55373"/>
    <w:rsid w:val="00F5577B"/>
    <w:rsid w:val="00F60A26"/>
    <w:rsid w:val="00F60A3F"/>
    <w:rsid w:val="00F62249"/>
    <w:rsid w:val="00F64358"/>
    <w:rsid w:val="00F65190"/>
    <w:rsid w:val="00F65B36"/>
    <w:rsid w:val="00F66CD3"/>
    <w:rsid w:val="00F66DAA"/>
    <w:rsid w:val="00F67106"/>
    <w:rsid w:val="00F67CCA"/>
    <w:rsid w:val="00F718E2"/>
    <w:rsid w:val="00F7252A"/>
    <w:rsid w:val="00F74D39"/>
    <w:rsid w:val="00F75CAC"/>
    <w:rsid w:val="00F76047"/>
    <w:rsid w:val="00F765A2"/>
    <w:rsid w:val="00F768FB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B526D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2A38"/>
    <w:rsid w:val="00FD41EB"/>
    <w:rsid w:val="00FD5A59"/>
    <w:rsid w:val="00FD605C"/>
    <w:rsid w:val="00FE0BA2"/>
    <w:rsid w:val="00FE3BDD"/>
    <w:rsid w:val="00FE452F"/>
    <w:rsid w:val="00FE4CF6"/>
    <w:rsid w:val="00FE550E"/>
    <w:rsid w:val="00FE6052"/>
    <w:rsid w:val="00FE62B4"/>
    <w:rsid w:val="00FE7906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tt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90;&#1077;&#1088;&#1088;&#1080;&#1090;&#1086;&#1088;&#1080;&#1103;&#1090;&#1088;&#1091;&#1076;&#1072;.&#1088;&#1092;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2018-2019 гг.</a:t>
            </a:r>
            <a:endParaRPr lang="ru-RU"/>
          </a:p>
        </c:rich>
      </c:tx>
      <c:layout>
        <c:manualLayout>
          <c:xMode val="edge"/>
          <c:yMode val="edge"/>
          <c:x val="0.12972710288943143"/>
          <c:y val="1.67099054814679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920637103768149E-2"/>
          <c:y val="0.23048867446482485"/>
          <c:w val="0.89506193182805793"/>
          <c:h val="0.53979457770090866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169583605542718E-2"/>
                  <c:y val="0.100748562499051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8302903185136792E-2"/>
                  <c:y val="8.696311804955016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304427557911E-2"/>
                  <c:y val="9.7170816075736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5343900789693863E-2"/>
                  <c:y val="0.10521718022241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712348183552E-2"/>
                  <c:y val="0.1031577989167539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30021282111E-2"/>
                  <c:y val="5.8543364561181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4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Sheet1!$A$74:$A$92</c:f>
              <c:numCache>
                <c:formatCode>m/d/yyyy</c:formatCode>
                <c:ptCount val="1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</c:numCache>
            </c:numRef>
          </c:cat>
          <c:val>
            <c:numRef>
              <c:f>Sheet1!$B$74:$B$92</c:f>
              <c:numCache>
                <c:formatCode>General</c:formatCode>
                <c:ptCount val="19"/>
                <c:pt idx="0">
                  <c:v>3456</c:v>
                </c:pt>
                <c:pt idx="1">
                  <c:v>3452</c:v>
                </c:pt>
                <c:pt idx="2">
                  <c:v>3732</c:v>
                </c:pt>
                <c:pt idx="3">
                  <c:v>3590</c:v>
                </c:pt>
                <c:pt idx="4">
                  <c:v>3328</c:v>
                </c:pt>
                <c:pt idx="5">
                  <c:v>3116</c:v>
                </c:pt>
                <c:pt idx="6">
                  <c:v>2996</c:v>
                </c:pt>
                <c:pt idx="7">
                  <c:v>3033</c:v>
                </c:pt>
                <c:pt idx="8">
                  <c:v>3093</c:v>
                </c:pt>
                <c:pt idx="9">
                  <c:v>3053</c:v>
                </c:pt>
                <c:pt idx="10">
                  <c:v>2946</c:v>
                </c:pt>
                <c:pt idx="11">
                  <c:v>3069</c:v>
                </c:pt>
                <c:pt idx="12">
                  <c:v>3050</c:v>
                </c:pt>
                <c:pt idx="13">
                  <c:v>3314</c:v>
                </c:pt>
                <c:pt idx="14">
                  <c:v>3660</c:v>
                </c:pt>
                <c:pt idx="15">
                  <c:v>3830</c:v>
                </c:pt>
                <c:pt idx="16">
                  <c:v>3846</c:v>
                </c:pt>
                <c:pt idx="17">
                  <c:v>3606</c:v>
                </c:pt>
                <c:pt idx="18">
                  <c:v>3524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125568"/>
        <c:axId val="173457792"/>
      </c:lineChart>
      <c:dateAx>
        <c:axId val="16812556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345779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7345779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125568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100"/>
          </a:p>
        </c:rich>
      </c:tx>
      <c:layout>
        <c:manualLayout>
          <c:xMode val="edge"/>
          <c:yMode val="edge"/>
          <c:x val="0.23288307271450223"/>
          <c:y val="2.1115396692794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320488897442554E-2"/>
          <c:y val="0.13507894330546144"/>
          <c:w val="0.91191902287453186"/>
          <c:h val="0.6083302960492383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50929715578E-2"/>
                  <c:y val="5.1529387972232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21905968877903E-2"/>
                  <c:y val="4.8842638388794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8776044E-2"/>
                  <c:y val="5.8415797953593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23822035529299E-2"/>
                  <c:y val="5.605129080227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0421609567E-2"/>
                  <c:y val="4.404032410521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22275124747E-2"/>
                  <c:y val="4.9488473383551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91738169931E-2"/>
                  <c:y val="4.534114140255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24406659582E-2"/>
                  <c:y val="5.1988656216734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Лист2!$A$59:$A$77</c:f>
              <c:numCache>
                <c:formatCode>m/d/yyyy</c:formatCode>
                <c:ptCount val="1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</c:numCache>
            </c:numRef>
          </c:cat>
          <c:val>
            <c:numRef>
              <c:f>Лист2!$B$59:$B$77</c:f>
              <c:numCache>
                <c:formatCode>General</c:formatCode>
                <c:ptCount val="19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 formatCode="0.00">
                  <c:v>0.3</c:v>
                </c:pt>
                <c:pt idx="7" formatCode="0.00">
                  <c:v>0.3</c:v>
                </c:pt>
                <c:pt idx="8">
                  <c:v>0.31</c:v>
                </c:pt>
                <c:pt idx="9">
                  <c:v>0.31</c:v>
                </c:pt>
                <c:pt idx="10" formatCode="0.00">
                  <c:v>0.3</c:v>
                </c:pt>
                <c:pt idx="11">
                  <c:v>0.31</c:v>
                </c:pt>
                <c:pt idx="12" formatCode="0.00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501328040479E-2"/>
                  <c:y val="4.35614356454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753184571782E-2"/>
                  <c:y val="4.592158563496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15438602449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835516340869051E-2"/>
                  <c:y val="4.4306821904449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8573396149995E-2"/>
                  <c:y val="4.25055996828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243492013020159E-2"/>
                  <c:y val="5.142553001308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00822432367E-2"/>
                  <c:y val="4.5424677440293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0805447939E-2"/>
                  <c:y val="4.393700787401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85998309617E-2"/>
                  <c:y val="4.645539276630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33594684832E-2"/>
                  <c:y val="4.5997253439295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58633664415649E-2"/>
                  <c:y val="3.835238861396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Лист2!$A$59:$A$77</c:f>
              <c:numCache>
                <c:formatCode>m/d/yyyy</c:formatCode>
                <c:ptCount val="1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</c:numCache>
            </c:numRef>
          </c:cat>
          <c:val>
            <c:numRef>
              <c:f>Лист2!$C$59:$C$77</c:f>
              <c:numCache>
                <c:formatCode>0.0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 formatCode="General">
                  <c:v>0.9</c:v>
                </c:pt>
                <c:pt idx="8" formatCode="General">
                  <c:v>0.9</c:v>
                </c:pt>
                <c:pt idx="9">
                  <c:v>0.9</c:v>
                </c:pt>
                <c:pt idx="10" formatCode="General">
                  <c:v>0.8</c:v>
                </c:pt>
                <c:pt idx="11" formatCode="General">
                  <c:v>0.9</c:v>
                </c:pt>
                <c:pt idx="12" formatCode="General">
                  <c:v>0.9</c:v>
                </c:pt>
                <c:pt idx="13">
                  <c:v>1</c:v>
                </c:pt>
                <c:pt idx="14">
                  <c:v>1</c:v>
                </c:pt>
                <c:pt idx="15" formatCode="General">
                  <c:v>1.1000000000000001</c:v>
                </c:pt>
                <c:pt idx="16" formatCode="General">
                  <c:v>1.1000000000000001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520192"/>
        <c:axId val="178863488"/>
      </c:lineChart>
      <c:dateAx>
        <c:axId val="17452019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86348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886348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520192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468125995408916"/>
          <c:y val="0.91692204351233342"/>
          <c:w val="0.78762136667029259"/>
          <c:h val="5.330430852541534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1868235997799274"/>
          <c:y val="2.851750272788936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7592531473E-2"/>
          <c:y val="0.18134831460674158"/>
          <c:w val="0.88518635170603677"/>
          <c:h val="0.6189636969536110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b="0" i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Лист1!$A$73:$A$91</c:f>
              <c:numCache>
                <c:formatCode>dd/mm/yy;@</c:formatCode>
                <c:ptCount val="1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</c:numCache>
            </c:numRef>
          </c:cat>
          <c:val>
            <c:numRef>
              <c:f>Лист1!$B$73:$B$91</c:f>
              <c:numCache>
                <c:formatCode>General</c:formatCode>
                <c:ptCount val="19"/>
                <c:pt idx="0">
                  <c:v>18683</c:v>
                </c:pt>
                <c:pt idx="1">
                  <c:v>19659</c:v>
                </c:pt>
                <c:pt idx="2">
                  <c:v>19391</c:v>
                </c:pt>
                <c:pt idx="3">
                  <c:v>19407</c:v>
                </c:pt>
                <c:pt idx="4">
                  <c:v>20236</c:v>
                </c:pt>
                <c:pt idx="5">
                  <c:v>22998</c:v>
                </c:pt>
                <c:pt idx="6">
                  <c:v>22942</c:v>
                </c:pt>
                <c:pt idx="7">
                  <c:v>23202</c:v>
                </c:pt>
                <c:pt idx="8">
                  <c:v>22896</c:v>
                </c:pt>
                <c:pt idx="9">
                  <c:v>22123</c:v>
                </c:pt>
                <c:pt idx="10">
                  <c:v>19954</c:v>
                </c:pt>
                <c:pt idx="11">
                  <c:v>20046</c:v>
                </c:pt>
                <c:pt idx="12">
                  <c:v>19315</c:v>
                </c:pt>
                <c:pt idx="13">
                  <c:v>18847</c:v>
                </c:pt>
                <c:pt idx="14">
                  <c:v>18885</c:v>
                </c:pt>
                <c:pt idx="15">
                  <c:v>20340</c:v>
                </c:pt>
                <c:pt idx="16">
                  <c:v>20620</c:v>
                </c:pt>
                <c:pt idx="17">
                  <c:v>22546</c:v>
                </c:pt>
                <c:pt idx="18">
                  <c:v>22751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1285632"/>
        <c:axId val="181287552"/>
      </c:barChart>
      <c:dateAx>
        <c:axId val="1812856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812875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81287552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1285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0.01672</cdr:x>
      <cdr:y>0.10908</cdr:y>
    </cdr:from>
    <cdr:to>
      <cdr:x>0.06898</cdr:x>
      <cdr:y>0.17334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0.02788</cdr:x>
      <cdr:y>0.10935</cdr:y>
    </cdr:from>
    <cdr:to>
      <cdr:x>0.07053</cdr:x>
      <cdr:y>0.15924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87" y="422128"/>
          <a:ext cx="292494" cy="192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664E-3167-4C48-811A-77860E17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30</Pages>
  <Words>11959</Words>
  <Characters>68171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Карпова Л.В.</cp:lastModifiedBy>
  <cp:revision>97</cp:revision>
  <cp:lastPrinted>2019-07-26T12:13:00Z</cp:lastPrinted>
  <dcterms:created xsi:type="dcterms:W3CDTF">2019-04-22T13:29:00Z</dcterms:created>
  <dcterms:modified xsi:type="dcterms:W3CDTF">2019-07-26T12:32:00Z</dcterms:modified>
</cp:coreProperties>
</file>