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28D87C6" wp14:editId="0A9E652A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99BB281" wp14:editId="651C032D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EB2BDB8" wp14:editId="2A253D06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1A2C859" wp14:editId="0CECEEE1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:rsidR="00AB4A3D" w:rsidRPr="00AB4A3D" w:rsidRDefault="00CC759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за 9 месяцев</w:t>
            </w:r>
            <w:r w:rsidR="002C0EAD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BF6D6A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201</w:t>
            </w:r>
            <w:r w:rsidR="00F7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9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 w:rsidR="002C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94DA78" wp14:editId="018E184C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346C1E6" wp14:editId="0C89676E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1A1DC" wp14:editId="6CBB1F8E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B35AF" w:rsidRDefault="006B35AF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6B35AF" w:rsidRDefault="006B35AF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93455" w:rsidRPr="005B4D21" w:rsidRDefault="00093455" w:rsidP="0009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:rsidR="00093455" w:rsidRPr="005B4D21" w:rsidRDefault="00093455" w:rsidP="0009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23AB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 9 месяцев </w:t>
      </w: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9</w:t>
      </w: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:rsidR="00093455" w:rsidRDefault="00093455" w:rsidP="000934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:rsidR="00093455" w:rsidRPr="00B35EF1" w:rsidRDefault="00093455" w:rsidP="0009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 рынок труда Ленинградской области развивался стабильно                          с проявлением тенденции постепенного снижения регистрируемой безработицы.</w:t>
      </w:r>
    </w:p>
    <w:p w:rsidR="00093455" w:rsidRPr="00B35EF1" w:rsidRDefault="00093455" w:rsidP="00093455">
      <w:pPr>
        <w:pStyle w:val="21"/>
        <w:rPr>
          <w:szCs w:val="20"/>
        </w:rPr>
      </w:pPr>
      <w:r w:rsidRPr="00B35EF1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:rsidR="00093455" w:rsidRPr="00B35EF1" w:rsidRDefault="00093455" w:rsidP="00093455">
      <w:pPr>
        <w:pStyle w:val="21"/>
      </w:pPr>
      <w:r w:rsidRPr="00B35EF1">
        <w:tab/>
      </w:r>
      <w:r w:rsidRPr="00B35EF1">
        <w:rPr>
          <w:iCs/>
        </w:rPr>
        <w:t xml:space="preserve">Поддержанию стабильной ситуации и недопущению резкого роста безработицы на рынке труда Ленинградской области способствовала </w:t>
      </w:r>
      <w:r w:rsidRPr="00B35EF1">
        <w:t>реализация мероприятий Государственной программы Ленинградской области «Содействие занятости населения Ленинградской области» (далее – госпрограмма) (утверждена постановлением Правительства Ленинградской области                  от 7 декабря 2015 года № 466).</w:t>
      </w:r>
    </w:p>
    <w:p w:rsidR="00093455" w:rsidRPr="00B35EF1" w:rsidRDefault="00093455" w:rsidP="000934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2019 года гражданами </w:t>
      </w:r>
      <w:proofErr w:type="gram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proofErr w:type="gram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70060 заявлений о предоставлении государственных услуг (далее – </w:t>
      </w:r>
      <w:proofErr w:type="spell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3455" w:rsidRPr="00B35EF1" w:rsidRDefault="00093455" w:rsidP="000934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455" w:rsidRPr="00B35EF1" w:rsidRDefault="00093455" w:rsidP="000934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 23219 человек;</w:t>
      </w:r>
    </w:p>
    <w:p w:rsidR="00093455" w:rsidRPr="00B35EF1" w:rsidRDefault="00093455" w:rsidP="000934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 1004 безработных гражданина;</w:t>
      </w:r>
    </w:p>
    <w:p w:rsidR="00093455" w:rsidRPr="00B35EF1" w:rsidRDefault="00093455" w:rsidP="000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социальной адаптации – 985 безработных граждан;</w:t>
      </w:r>
    </w:p>
    <w:p w:rsidR="00093455" w:rsidRPr="00B35EF1" w:rsidRDefault="00093455" w:rsidP="000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310 человек;</w:t>
      </w:r>
    </w:p>
    <w:p w:rsidR="00093455" w:rsidRPr="00B35EF1" w:rsidRDefault="00093455" w:rsidP="000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информированию о положении на рынке труда – 21809 человек и 3033 работодателя.</w:t>
      </w:r>
    </w:p>
    <w:p w:rsidR="007C062A" w:rsidRDefault="007C062A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:rsidR="00E9767A" w:rsidRPr="004261F7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93455" w:rsidRPr="00B35EF1" w:rsidRDefault="00093455" w:rsidP="00093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 обратились в службу занятости за содействием в поиске подходящей работы 23278 человек, что на 1329 человек больше, чем за 9 месяцев 2018 года.</w:t>
      </w:r>
    </w:p>
    <w:p w:rsidR="00093455" w:rsidRPr="00B35EF1" w:rsidRDefault="00093455" w:rsidP="00093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093455" w:rsidRPr="00B35EF1" w:rsidRDefault="00093455" w:rsidP="0009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области, работавшие в Санкт-Петербурге и других регионах, и уволенные                       по различным причинам. С начала 2019 года, это 2779 областных жителей (обратившийся                    в службу занятости), на 444 человека больше, чем за 9 месяцев 2018 года (2335 человек);</w:t>
      </w:r>
    </w:p>
    <w:p w:rsidR="00093455" w:rsidRPr="00B35EF1" w:rsidRDefault="00093455" w:rsidP="00093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в связи с ликвидацией организации, либо сокращением численности или штата работников организации, – 1739 человек (7,5% от обратившихся в поиске подходящей работы), что на 106 человек меньше, чем за 9 месяцев 2018 года;</w:t>
      </w:r>
    </w:p>
    <w:p w:rsidR="00093455" w:rsidRPr="00B35EF1" w:rsidRDefault="00093455" w:rsidP="00093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:rsidR="00093455" w:rsidRPr="00B35EF1" w:rsidRDefault="00093455" w:rsidP="00093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1119 пенсионеров (4,8% от обратившихся в поиске подходящей работы);</w:t>
      </w:r>
      <w:proofErr w:type="gramEnd"/>
    </w:p>
    <w:p w:rsidR="00093455" w:rsidRPr="00B35EF1" w:rsidRDefault="00093455" w:rsidP="00093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1315 инвалидов (5,6%);</w:t>
      </w:r>
    </w:p>
    <w:p w:rsidR="00093455" w:rsidRPr="00B35EF1" w:rsidRDefault="00093455" w:rsidP="0009345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2774 родителя, имеющих несовершеннолетних детей (11,9%); </w:t>
      </w:r>
    </w:p>
    <w:p w:rsidR="00093455" w:rsidRPr="00B35EF1" w:rsidRDefault="00093455" w:rsidP="0009345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2927 граждан, стремящихся возобновить трудовую деятельность после длительного (более года) перерыва, (12,6%) и др.</w:t>
      </w:r>
    </w:p>
    <w:p w:rsidR="00093455" w:rsidRPr="00B35EF1" w:rsidRDefault="00093455" w:rsidP="000934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граждан, обратившихся в поиске подходящей работы (23278 человек): </w:t>
      </w:r>
    </w:p>
    <w:p w:rsidR="00093455" w:rsidRPr="00B35EF1" w:rsidRDefault="00093455" w:rsidP="0009345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незанятых граждан – 60,8% (за 9 месяцев 2018 года – 61%);</w:t>
      </w:r>
    </w:p>
    <w:p w:rsidR="00093455" w:rsidRPr="00B35EF1" w:rsidRDefault="00093455" w:rsidP="000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49,1% (за 9 месяцев 2018 года – 49,7%);</w:t>
      </w:r>
    </w:p>
    <w:p w:rsidR="00093455" w:rsidRPr="00B35EF1" w:rsidRDefault="00093455" w:rsidP="0009345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в возрасте 14-29 лет – 50,1% (за 9 месяцев 2018 года – 51,9%).</w:t>
      </w:r>
    </w:p>
    <w:p w:rsidR="00093455" w:rsidRPr="00C35ED6" w:rsidRDefault="00093455" w:rsidP="0009345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16AE1" wp14:editId="6E5E20E9">
                <wp:simplePos x="0" y="0"/>
                <wp:positionH relativeFrom="column">
                  <wp:posOffset>427355</wp:posOffset>
                </wp:positionH>
                <wp:positionV relativeFrom="paragraph">
                  <wp:posOffset>311785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35AF" w:rsidRPr="008508C6" w:rsidRDefault="006B35AF" w:rsidP="0009345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6B35AF" w:rsidRDefault="006B35AF" w:rsidP="0009345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октября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6B35AF" w:rsidRDefault="006B35AF" w:rsidP="0009345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5109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6B35AF" w:rsidRPr="00E77951" w:rsidRDefault="006B35AF" w:rsidP="0009345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B35AF" w:rsidRDefault="006B35AF" w:rsidP="00093455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520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6B35AF" w:rsidRPr="00870F83" w:rsidRDefault="006B35AF" w:rsidP="00093455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174 человека меньше, чем на 1 сентября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  <w:p w:rsidR="006B35AF" w:rsidRPr="00CC2E56" w:rsidRDefault="006B35AF" w:rsidP="00093455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29 человек больше, чем на 1 октября 2018 года</w:t>
                            </w:r>
                          </w:p>
                          <w:p w:rsidR="006B35AF" w:rsidRPr="008508C6" w:rsidRDefault="006B35AF" w:rsidP="00093455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33.65pt;margin-top:24.55pt;width:472.2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6B35AF" w:rsidRPr="008508C6" w:rsidRDefault="006B35AF" w:rsidP="0009345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6B35AF" w:rsidRDefault="006B35AF" w:rsidP="0009345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октября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6B35AF" w:rsidRDefault="006B35AF" w:rsidP="0009345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5109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6B35AF" w:rsidRPr="00E77951" w:rsidRDefault="006B35AF" w:rsidP="0009345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B35AF" w:rsidRDefault="006B35AF" w:rsidP="00093455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520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6B35AF" w:rsidRPr="00870F83" w:rsidRDefault="006B35AF" w:rsidP="00093455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174 человека меньше, чем на 1 сентября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  <w:p w:rsidR="006B35AF" w:rsidRPr="00CC2E56" w:rsidRDefault="006B35AF" w:rsidP="00093455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29 человек больше, чем на 1 октября 2018 года</w:t>
                      </w:r>
                    </w:p>
                    <w:p w:rsidR="006B35AF" w:rsidRPr="008508C6" w:rsidRDefault="006B35AF" w:rsidP="00093455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435E8" w:rsidRDefault="004435E8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4435E8" w:rsidRDefault="004435E8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435E8" w:rsidRDefault="004435E8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93455" w:rsidRDefault="00093455" w:rsidP="004435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C062A" w:rsidRDefault="00AB4A3D" w:rsidP="004435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Безработные граждане</w:t>
      </w:r>
    </w:p>
    <w:p w:rsidR="004435E8" w:rsidRPr="004435E8" w:rsidRDefault="004435E8" w:rsidP="004435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93455" w:rsidRPr="00B35EF1" w:rsidRDefault="00093455" w:rsidP="0009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октября 2019 года зарегистрировано безработными 3555 человек, что на 522 человека больше, чем на начало октября 2018 года (3053 человека).</w:t>
      </w:r>
    </w:p>
    <w:p w:rsidR="00093455" w:rsidRPr="00B35EF1" w:rsidRDefault="00093455" w:rsidP="0009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9 месяцев 2019 года на учет поставлено от 111 безработных граждан                          в Ломоносовском муниципальном районе (1,4% от общей численности зарегистрированных безработных граждан) до 989 безработных граждан во Всеволожском муниципальном                     районе (12,5%).</w:t>
      </w:r>
    </w:p>
    <w:p w:rsidR="00093455" w:rsidRPr="00B35EF1" w:rsidRDefault="00093455" w:rsidP="0009345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7422 безработных гражданина, в том числе в связи </w:t>
      </w:r>
      <w:proofErr w:type="gram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455" w:rsidRPr="00B35EF1" w:rsidRDefault="00093455" w:rsidP="000934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2853 человека (38,4%);</w:t>
      </w:r>
    </w:p>
    <w:p w:rsidR="00093455" w:rsidRPr="00B35EF1" w:rsidRDefault="00093455" w:rsidP="000934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1064 человека (14,3%);</w:t>
      </w:r>
    </w:p>
    <w:p w:rsidR="00093455" w:rsidRPr="00B35EF1" w:rsidRDefault="00093455" w:rsidP="000934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причинам – 3505 человек (47,2%).</w:t>
      </w:r>
    </w:p>
    <w:p w:rsidR="00093455" w:rsidRPr="00B35EF1" w:rsidRDefault="00093455" w:rsidP="0009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октября 2019 года численность безработных граждан, зарегистрированных в службе занятости, 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3555 человек, что на 505 человек больше, чем в начале 2019 года (3050 человек).  </w:t>
      </w:r>
    </w:p>
    <w:p w:rsidR="00093455" w:rsidRDefault="00093455" w:rsidP="0009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C062A" w:rsidRPr="001D5EFA" w:rsidRDefault="00AF44DC" w:rsidP="005B404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8BD0C8" wp14:editId="0E6C1EB4">
            <wp:extent cx="6610350" cy="290512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5E5F" w:rsidRPr="00C278C6" w:rsidRDefault="000E5E5F" w:rsidP="00AF44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35EF1" w:rsidRDefault="00B35EF1" w:rsidP="0009345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3455" w:rsidRPr="00B35EF1" w:rsidRDefault="00093455" w:rsidP="0009345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численности безработных граждан к началу октября  2019 года по сравнению              с началом 2019 года отмечено в </w:t>
      </w:r>
      <w:proofErr w:type="spellStart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Волосовском</w:t>
      </w:r>
      <w:proofErr w:type="spellEnd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Киришском</w:t>
      </w:r>
      <w:proofErr w:type="spellEnd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Ломоносовском, </w:t>
      </w:r>
      <w:proofErr w:type="spellStart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Лужском</w:t>
      </w:r>
      <w:proofErr w:type="spellEnd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Сланцевском</w:t>
      </w:r>
      <w:proofErr w:type="spellEnd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Тихвинском муниципальных районах. Незначительное увеличение безработных граждан наблюдалось в 12 муниципальных районах и Сосновоборском городском округе.</w:t>
      </w:r>
    </w:p>
    <w:p w:rsidR="00C278C6" w:rsidRPr="005025BB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:rsidR="00254BD4" w:rsidRPr="00C278C6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C062A" w:rsidRPr="00B34328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октября 2019 года (3555 человек):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3311 человек (93,1%), из них: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1915 человек (57,8%);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464 человека (14%);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519 человек (15,7%);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30 человек (0,9%).</w:t>
      </w:r>
      <w:proofErr w:type="gramEnd"/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3555 безработных граждан:</w:t>
      </w:r>
    </w:p>
    <w:p w:rsidR="00093455" w:rsidRPr="005D785C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5D78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16-17 лет – 14 человек (0,4%);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94 человека (2,6%);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214 человек (6%);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25-29 лет – 213 человек (6%);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30-49 лет – 1834 человека (51,6%);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1186 человек (33,4%);</w:t>
      </w:r>
    </w:p>
    <w:p w:rsidR="00093455" w:rsidRPr="005D785C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5D78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1100 человек (30,9%);</w:t>
      </w:r>
    </w:p>
    <w:p w:rsidR="00093455" w:rsidRPr="00B35EF1" w:rsidRDefault="00093455" w:rsidP="000934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проф. образование – 1536 человек (43,2%);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491 человек (13,8%);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387 человек (10,9%);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имеющие основного общего образования – 41 человек (1,2%);</w:t>
      </w:r>
    </w:p>
    <w:p w:rsidR="00093455" w:rsidRPr="005D785C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5D78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:rsidR="00093455" w:rsidRPr="00B35EF1" w:rsidRDefault="00093455" w:rsidP="00093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737 человек (20,7%);</w:t>
      </w:r>
    </w:p>
    <w:p w:rsidR="00093455" w:rsidRPr="00B35EF1" w:rsidRDefault="00093455" w:rsidP="00093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403 человека (11,3%);</w:t>
      </w:r>
    </w:p>
    <w:p w:rsidR="00093455" w:rsidRPr="00B35EF1" w:rsidRDefault="00093455" w:rsidP="00093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809 человек (22,8%);</w:t>
      </w:r>
    </w:p>
    <w:p w:rsidR="00093455" w:rsidRPr="00B35EF1" w:rsidRDefault="00093455" w:rsidP="00093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357 человек (10%);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244 человека (6,9%).</w:t>
      </w:r>
    </w:p>
    <w:p w:rsidR="00093455" w:rsidRPr="00B35EF1" w:rsidRDefault="00093455" w:rsidP="0009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Default="00AF6E7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Распределение безработных граждан </w:t>
      </w:r>
      <w:r w:rsidR="00AB4A3D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про</w:t>
      </w:r>
      <w:r w:rsidR="000E5E5F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должительности безработицы</w:t>
      </w:r>
    </w:p>
    <w:p w:rsidR="000E5E5F" w:rsidRPr="00C278C6" w:rsidRDefault="000E5E5F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93455" w:rsidRDefault="00BA7724" w:rsidP="00BA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490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20"/>
        <w:gridCol w:w="784"/>
        <w:gridCol w:w="222"/>
        <w:gridCol w:w="576"/>
        <w:gridCol w:w="864"/>
        <w:gridCol w:w="81"/>
        <w:gridCol w:w="808"/>
        <w:gridCol w:w="851"/>
        <w:gridCol w:w="112"/>
        <w:gridCol w:w="738"/>
        <w:gridCol w:w="992"/>
      </w:tblGrid>
      <w:tr w:rsidR="00093455" w:rsidRPr="00076E68" w:rsidTr="00093455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3455" w:rsidRPr="00076E68" w:rsidTr="00093455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093455" w:rsidRPr="00076E68" w:rsidTr="00093455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093455" w:rsidRPr="00076E68" w:rsidTr="00093455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8F314B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3455" w:rsidRPr="00076E68" w:rsidTr="00093455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1093</w:t>
            </w:r>
          </w:p>
        </w:tc>
      </w:tr>
      <w:tr w:rsidR="00093455" w:rsidRPr="00076E68" w:rsidTr="00093455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093455" w:rsidRPr="00076E68" w:rsidTr="00093455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093455" w:rsidRPr="00076E68" w:rsidTr="00093455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</w:tr>
      <w:tr w:rsidR="00093455" w:rsidRPr="00076E68" w:rsidTr="00093455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093455" w:rsidRPr="00076E68" w:rsidTr="00093455">
        <w:trPr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455" w:rsidRPr="00076E68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93455" w:rsidRPr="00076E68" w:rsidTr="00093455">
        <w:trPr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455" w:rsidRPr="00BD4652" w:rsidRDefault="00093455" w:rsidP="0009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4,4</w:t>
            </w:r>
          </w:p>
        </w:tc>
      </w:tr>
    </w:tbl>
    <w:p w:rsidR="00BA7724" w:rsidRPr="00B35EF1" w:rsidRDefault="00BA7724" w:rsidP="00BA772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B35EF1" w:rsidRDefault="00BA7724" w:rsidP="000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3455" w:rsidRPr="00B35EF1" w:rsidRDefault="00093455" w:rsidP="00B3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продолжительность периода безработицы в целом по Ленинградской области                   к началу октября 2019 года </w:t>
      </w:r>
      <w:proofErr w:type="spell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сравнялася</w:t>
      </w:r>
      <w:proofErr w:type="spell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значением начала года – 4,3 месяца.</w:t>
      </w:r>
    </w:p>
    <w:p w:rsidR="00093455" w:rsidRPr="007B0F80" w:rsidRDefault="00093455" w:rsidP="00093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4A3D" w:rsidRPr="003D3522" w:rsidRDefault="00AB4A3D" w:rsidP="0009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455" w:rsidRPr="00B35EF1" w:rsidRDefault="00093455" w:rsidP="0009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в Ленинградской области на 01.10.2019 имел значение 0,35% (на 0,05 процентных пункта (далее – </w:t>
      </w:r>
      <w:proofErr w:type="gram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/п) выше, чем в начале 2019 года (0,30%).                  </w:t>
      </w:r>
    </w:p>
    <w:p w:rsidR="00093455" w:rsidRPr="00B35EF1" w:rsidRDefault="00093455" w:rsidP="000934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октября 2019 года – 0,35%, по территориям этот показатель имел значение: от 0,10% в Ломоносовском муниципальном районе до 0,86% в </w:t>
      </w:r>
      <w:proofErr w:type="spell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093455" w:rsidRPr="00B35EF1" w:rsidRDefault="00093455" w:rsidP="000934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 незначительного увеличения безработицы к началу октября 2019 года наблюдалась в 12 муниципальных районах. Снижение уровня регистрируемой безработицы 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отмечено в </w:t>
      </w:r>
      <w:proofErr w:type="spell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Ломоносовском, </w:t>
      </w:r>
      <w:proofErr w:type="spell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Тихвинском муниципальных районах.</w:t>
      </w:r>
    </w:p>
    <w:p w:rsidR="00093455" w:rsidRPr="00B35EF1" w:rsidRDefault="00093455" w:rsidP="00093455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продолжает входить в ограниченное число субъектов Российской Федерации, имеющих низкую регистрируемую безработицу. </w:t>
      </w:r>
    </w:p>
    <w:p w:rsidR="00093455" w:rsidRPr="00B35EF1" w:rsidRDefault="00B35EF1" w:rsidP="00093455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093455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10.2019 в Калужской, Липецкой, Тульской, Республика Крым, Нижегородской, Ульяновская, Ханты-Мансийском АО, Сахалинской, Санкт-Петербурге, </w:t>
      </w:r>
      <w:proofErr w:type="spellStart"/>
      <w:r w:rsidR="00093455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93455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093455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="00093455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этот показатель – 0,4% в г. Севастополе – 0,2%.</w:t>
      </w:r>
    </w:p>
    <w:p w:rsidR="00280102" w:rsidRDefault="00280102" w:rsidP="007C062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2A" w:rsidRDefault="00F75BA8" w:rsidP="005738A3">
      <w:pPr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58B732" wp14:editId="0A78DE19">
            <wp:extent cx="6701051" cy="3500651"/>
            <wp:effectExtent l="0" t="0" r="2413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062A" w:rsidRDefault="007C062A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7D" w:rsidRPr="00C278C6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44E" w:rsidRPr="00B35EF1" w:rsidRDefault="00F14DC5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январе-сентябре</w:t>
      </w:r>
      <w:r w:rsidR="003E644E"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 взаимодействие с работодателями, в части предоставления информации о потребности в рабочей силе и подбора необходимых кадров, оставалось одним                из важных направлений деятельности службы занятости. </w:t>
      </w:r>
    </w:p>
    <w:p w:rsidR="003E644E" w:rsidRPr="00B35EF1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:rsidR="003E644E" w:rsidRPr="00B35EF1" w:rsidRDefault="00F14DC5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3E644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работодателями: </w:t>
      </w:r>
    </w:p>
    <w:p w:rsidR="003E644E" w:rsidRPr="00B35EF1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F14DC5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67629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</w:t>
      </w:r>
      <w:r w:rsidR="00F14DC5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ваканси</w:t>
      </w:r>
      <w:r w:rsidR="00F14DC5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44E" w:rsidRPr="00B35EF1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</w:t>
      </w:r>
      <w:r w:rsidR="00F14DC5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63177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вакансий. </w:t>
      </w:r>
      <w:proofErr w:type="gramEnd"/>
    </w:p>
    <w:p w:rsidR="003E644E" w:rsidRPr="00B35EF1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:rsidR="003E644E" w:rsidRPr="00B35EF1" w:rsidRDefault="00001FB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11721</w:t>
      </w:r>
      <w:r w:rsidR="003E644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644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17,3</w:t>
      </w:r>
      <w:r w:rsidR="003E644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предоставлены организациями муниципальной формы собственности;</w:t>
      </w:r>
    </w:p>
    <w:p w:rsidR="003E644E" w:rsidRPr="00B35EF1" w:rsidRDefault="00001FB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644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090</w:t>
      </w:r>
      <w:r w:rsidR="003E644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E644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19,4</w:t>
      </w:r>
      <w:r w:rsidR="003E644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государственной формы собственности;</w:t>
      </w:r>
    </w:p>
    <w:p w:rsidR="003E644E" w:rsidRPr="00B35EF1" w:rsidRDefault="00001FB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42818</w:t>
      </w:r>
      <w:r w:rsidR="003E644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(6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="003E644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других форм собственности.</w:t>
      </w:r>
    </w:p>
    <w:p w:rsidR="00001FBE" w:rsidRPr="00B35EF1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001FB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текущий спрос на рабочую силу составил 2</w:t>
      </w:r>
      <w:r w:rsidR="00001FB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3767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</w:t>
      </w:r>
      <w:r w:rsidR="00001FBE" w:rsidRPr="00B35EF1">
        <w:rPr>
          <w:sz w:val="28"/>
          <w:szCs w:val="28"/>
        </w:rPr>
        <w:t xml:space="preserve"> </w:t>
      </w:r>
      <w:r w:rsidR="00001FB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4452 вакансии больше, чем в начале 2019 года (19315 вакансий).</w:t>
      </w:r>
    </w:p>
    <w:p w:rsidR="00001FBE" w:rsidRPr="00B35EF1" w:rsidRDefault="003E644E" w:rsidP="00001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территориям заявленные вакансии распределились следующим образом: </w:t>
      </w:r>
      <w:r w:rsidR="00001FB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348 единиц (1,5% от текущего спроса на рабочую силу) </w:t>
      </w:r>
      <w:proofErr w:type="gramStart"/>
      <w:r w:rsidR="00001FB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01FB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1FB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Бокситогорском</w:t>
      </w:r>
      <w:proofErr w:type="gramEnd"/>
      <w:r w:rsidR="00001FBE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4200 единиц (17,7%) во Всеволожском муниципальном районе. </w:t>
      </w:r>
    </w:p>
    <w:p w:rsidR="00D93BA6" w:rsidRPr="00B35EF1" w:rsidRDefault="00D93BA6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A6" w:rsidRPr="005841EC" w:rsidRDefault="00F75BA8" w:rsidP="00D93B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8E96B5" wp14:editId="4FA9D1BE">
            <wp:extent cx="6152515" cy="3390900"/>
            <wp:effectExtent l="0" t="0" r="1968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3BA6" w:rsidRPr="005841EC" w:rsidRDefault="00D93BA6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80490" w:rsidRPr="00B35EF1" w:rsidRDefault="003E644E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</w:t>
      </w:r>
      <w:r w:rsidR="00880490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3767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</w:t>
      </w:r>
      <w:r w:rsidR="00880490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 вакансии (текущий спрос) для трудоустройства рабочих предлагались </w:t>
      </w:r>
      <w:r w:rsidR="00880490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17017 вакансий (71,6%), для инженерно-технических работников </w:t>
      </w:r>
      <w:r w:rsid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80490"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служащих – 6750 вакансий (28,4%).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6344 вакансии (26,7% от общего числа вакансий – 23767 единиц), далее по видам экономической деятельности: 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3211 вакансий (13,5%);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2611 вакансий (11%);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1952 вакансии (8,2%);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1501 вакансия (6,3%);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оптовая и розничная; р</w:t>
      </w:r>
      <w:r w:rsid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 автотранспортных средств 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мотоциклов – 1462 вакансии (6,2%);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 – 1329 вакансий (5,6%);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1058 вакансий (4,5%);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1013 вакансий (4,3%);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576 вакансий (2,4%);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521 вакансия (2,2%);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– 446 вакансий (1,9%);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421 вакансия (1,8%);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 страховая – 337 вакансий (1,4%);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прочих видов услуг – 287 вакансий (1,2%);</w:t>
      </w:r>
    </w:p>
    <w:p w:rsidR="00880490" w:rsidRPr="00B35EF1" w:rsidRDefault="00880490" w:rsidP="00880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244 вакансии (1%);</w:t>
      </w: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242 вакансии</w:t>
      </w:r>
      <w:r w:rsid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(1%) и т.д.</w:t>
      </w:r>
    </w:p>
    <w:p w:rsidR="00880490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рабочих профессий заявлено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9897 вакансий (41,6% от текущего спроса на рабочую силу). Предложение рабочей силы по этой группе профессий в 8 раза меньше. </w:t>
      </w:r>
    </w:p>
    <w:p w:rsidR="004436F8" w:rsidRPr="00B35EF1" w:rsidRDefault="004436F8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490" w:rsidRPr="00B35EF1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5841EC" w:rsidRPr="004436F8" w:rsidTr="00093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водитель – 1553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80490" w:rsidRPr="004436F8" w:rsidRDefault="00880490" w:rsidP="0009345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маляр, штукатур – 444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стропальщик – 187</w:t>
            </w:r>
          </w:p>
        </w:tc>
      </w:tr>
      <w:tr w:rsidR="005841EC" w:rsidRPr="004436F8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1339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продавец – 382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тракторист – 170</w:t>
            </w:r>
          </w:p>
        </w:tc>
      </w:tr>
      <w:tr w:rsidR="005841EC" w:rsidRPr="004436F8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слесарь – 1267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80490" w:rsidRPr="004436F8" w:rsidRDefault="0088049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электромонтажник – 342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станочник – 159</w:t>
            </w:r>
          </w:p>
        </w:tc>
      </w:tr>
      <w:tr w:rsidR="005841EC" w:rsidRPr="004436F8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1100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80490" w:rsidRPr="004436F8" w:rsidRDefault="0088049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электрик, электромонтер – 308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электросварщик – 132</w:t>
            </w:r>
          </w:p>
        </w:tc>
      </w:tr>
      <w:tr w:rsidR="005841EC" w:rsidRPr="004436F8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678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80490" w:rsidRPr="004436F8" w:rsidRDefault="0088049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повар – 258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80490" w:rsidRPr="004436F8" w:rsidRDefault="0088049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плотник – 110</w:t>
            </w:r>
          </w:p>
        </w:tc>
      </w:tr>
      <w:tr w:rsidR="005841EC" w:rsidRPr="004436F8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машинист – 535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224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сварщик – 30</w:t>
            </w:r>
          </w:p>
        </w:tc>
      </w:tr>
      <w:tr w:rsidR="005841EC" w:rsidRPr="004436F8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монтажник – 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токарь – 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80490" w:rsidRPr="004436F8" w:rsidRDefault="0088049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80490" w:rsidRPr="004436F8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0490" w:rsidRPr="004436F8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4420 вакансий (18,6% от текущего спроса на рабочую силу). Предложение рабочей силы по этой группе профессий в 5,2 раза больше.</w:t>
      </w:r>
    </w:p>
    <w:p w:rsidR="00880490" w:rsidRPr="004436F8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5841EC" w:rsidRPr="004436F8" w:rsidTr="00093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734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кассир – 183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механик – 75</w:t>
            </w:r>
          </w:p>
        </w:tc>
      </w:tr>
      <w:tr w:rsidR="005841EC" w:rsidRPr="004436F8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625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мастер – 178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бухгалтер – 73</w:t>
            </w:r>
          </w:p>
        </w:tc>
      </w:tr>
      <w:tr w:rsidR="005841EC" w:rsidRPr="004436F8" w:rsidTr="000934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531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80490" w:rsidRPr="004436F8" w:rsidRDefault="0088049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фельдшер</w:t>
            </w: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инспектор – 73</w:t>
            </w:r>
          </w:p>
        </w:tc>
      </w:tr>
      <w:tr w:rsidR="005841EC" w:rsidRPr="004436F8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педагог (преподаватель, учитель) – 330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80490" w:rsidRPr="004436F8" w:rsidRDefault="0088049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полицейский (следователь) </w:t>
            </w:r>
            <w:r w:rsidRPr="004436F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156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80490" w:rsidRPr="004436F8" w:rsidRDefault="00880490" w:rsidP="0009345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администратор – 49 </w:t>
            </w:r>
          </w:p>
        </w:tc>
      </w:tr>
      <w:tr w:rsidR="005841EC" w:rsidRPr="004436F8" w:rsidTr="000934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медицинская сестра – 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80490" w:rsidRPr="004436F8" w:rsidRDefault="0088049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менеджер – 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80490" w:rsidRPr="004436F8" w:rsidRDefault="00880490" w:rsidP="0009345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технолог – 44</w:t>
            </w:r>
          </w:p>
        </w:tc>
      </w:tr>
      <w:tr w:rsidR="005841EC" w:rsidRPr="004436F8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301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80490" w:rsidRPr="004436F8" w:rsidRDefault="0088049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123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80490" w:rsidRPr="004436F8" w:rsidRDefault="00880490" w:rsidP="0009345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34</w:t>
            </w:r>
          </w:p>
        </w:tc>
      </w:tr>
      <w:tr w:rsidR="005841EC" w:rsidRPr="004436F8" w:rsidTr="0009345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охранник – 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80490" w:rsidRPr="004436F8" w:rsidRDefault="0088049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воспитатель – 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80490" w:rsidRPr="004436F8" w:rsidRDefault="00880490" w:rsidP="0009345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80490" w:rsidRPr="004436F8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17625" w:rsidRPr="004436F8" w:rsidRDefault="00417625" w:rsidP="0041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3583 вакансии (15,1% от текущего спроса на рабочую силу). Предложение рабочей силы по этой группе профессий в 5,9 раз меньше.</w:t>
      </w:r>
    </w:p>
    <w:p w:rsidR="00417625" w:rsidRPr="004436F8" w:rsidRDefault="00417625" w:rsidP="0041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5841EC" w:rsidRPr="004436F8" w:rsidTr="00093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417625" w:rsidRPr="004436F8" w:rsidRDefault="00417625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1274</w:t>
            </w:r>
          </w:p>
        </w:tc>
      </w:tr>
      <w:tr w:rsidR="005841EC" w:rsidRPr="004436F8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7625" w:rsidRPr="004436F8" w:rsidRDefault="00417625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уборщик – 574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7625" w:rsidRPr="004436F8" w:rsidRDefault="00417625" w:rsidP="00093455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горничная – 113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7625" w:rsidRPr="004436F8" w:rsidRDefault="00417625" w:rsidP="00093455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</w:t>
            </w:r>
            <w:r w:rsidRPr="004436F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– 36</w:t>
            </w:r>
          </w:p>
        </w:tc>
      </w:tr>
      <w:tr w:rsidR="005841EC" w:rsidRPr="004436F8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7625" w:rsidRPr="004436F8" w:rsidRDefault="00417625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497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7625" w:rsidRPr="004436F8" w:rsidRDefault="00417625" w:rsidP="0009345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Pr="004436F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417625" w:rsidRPr="004436F8" w:rsidRDefault="00417625" w:rsidP="00093455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сторож (вахтер) – 35</w:t>
            </w:r>
          </w:p>
        </w:tc>
      </w:tr>
      <w:tr w:rsidR="005841EC" w:rsidRPr="004436F8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7625" w:rsidRPr="004436F8" w:rsidRDefault="00417625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 – 204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7625" w:rsidRPr="004436F8" w:rsidRDefault="00417625" w:rsidP="00093455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кладовщик</w:t>
            </w: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102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7625" w:rsidRPr="004436F8" w:rsidRDefault="00417625" w:rsidP="00093455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почтальон – 9</w:t>
            </w:r>
          </w:p>
        </w:tc>
      </w:tr>
      <w:tr w:rsidR="005841EC" w:rsidRPr="004436F8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7625" w:rsidRPr="004436F8" w:rsidRDefault="00417625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мойщик</w:t>
            </w:r>
            <w:r w:rsidRPr="004436F8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153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7625" w:rsidRPr="004436F8" w:rsidRDefault="00417625" w:rsidP="0009345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дворник – 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417625" w:rsidRPr="004436F8" w:rsidRDefault="00417625" w:rsidP="000934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6</w:t>
            </w:r>
          </w:p>
        </w:tc>
      </w:tr>
      <w:tr w:rsidR="005841EC" w:rsidRPr="004436F8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7625" w:rsidRPr="004436F8" w:rsidRDefault="00417625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пути</w:t>
            </w: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141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7625" w:rsidRPr="004436F8" w:rsidRDefault="00417625" w:rsidP="00093455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 – 77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7625" w:rsidRPr="004436F8" w:rsidRDefault="00417625" w:rsidP="000934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5841EC" w:rsidRPr="004436F8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417625" w:rsidRPr="004436F8" w:rsidRDefault="00417625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обработчик – 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417625" w:rsidRPr="004436F8" w:rsidRDefault="00417625" w:rsidP="0009345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4436F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Pr="004436F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417625" w:rsidRPr="004436F8" w:rsidRDefault="00417625" w:rsidP="000934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E644E" w:rsidRPr="004436F8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E644E" w:rsidRPr="004436F8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</w:t>
      </w:r>
      <w:r w:rsidR="00417625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3767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417625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644E" w:rsidRPr="004436F8" w:rsidRDefault="00417625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1378</w:t>
      </w:r>
      <w:r w:rsidR="003E644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644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,8%) </w:t>
      </w:r>
      <w:proofErr w:type="gramStart"/>
      <w:r w:rsidR="003E644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proofErr w:type="gramEnd"/>
      <w:r w:rsidR="003E644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5170</w:t>
      </w:r>
      <w:r w:rsidR="003E644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21,8</w:t>
      </w:r>
      <w:r w:rsidR="003E644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государственные формы собственности                              и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17219</w:t>
      </w:r>
      <w:r w:rsidR="003E644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72,4</w:t>
      </w:r>
      <w:r w:rsidR="003E644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:rsidR="00C03531" w:rsidRPr="004436F8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3531" w:rsidRPr="00E15DC4" w:rsidRDefault="00C03531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:rsidR="00C03531" w:rsidRPr="003575EB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C03531" w:rsidRPr="004436F8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</w:t>
      </w:r>
      <w:r w:rsidR="00093455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46572A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C03531" w:rsidRPr="004436F8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трудоустроено на все виды работ </w:t>
      </w:r>
      <w:r w:rsidR="00093455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13809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03531" w:rsidRPr="004436F8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трудоустройства граждан (отношение трудоустроенных граждан                     к ищущим работу </w:t>
      </w:r>
      <w:proofErr w:type="gramStart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</w:t>
      </w:r>
      <w:r w:rsidR="003467E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ужбу занятост</w:t>
      </w:r>
      <w:r w:rsidR="00093455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населения) – 59,3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93455" w:rsidRPr="004436F8" w:rsidRDefault="00C03531" w:rsidP="00C03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3455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филиалах</w:t>
      </w:r>
      <w:r w:rsidRPr="004436F8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4436F8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4436F8">
        <w:rPr>
          <w:rFonts w:ascii="Times New Roman" w:eastAsia="Calibri" w:hAnsi="Times New Roman" w:cs="Times New Roman"/>
          <w:sz w:val="24"/>
          <w:szCs w:val="24"/>
        </w:rPr>
        <w:t xml:space="preserve"> значения: </w:t>
      </w:r>
    </w:p>
    <w:p w:rsidR="00093455" w:rsidRPr="004436F8" w:rsidRDefault="00093455" w:rsidP="00093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F8">
        <w:rPr>
          <w:rFonts w:ascii="Times New Roman" w:eastAsia="Calibri" w:hAnsi="Times New Roman" w:cs="Times New Roman"/>
          <w:sz w:val="24"/>
          <w:szCs w:val="24"/>
        </w:rPr>
        <w:t xml:space="preserve">Приозерском (80,6%), </w:t>
      </w:r>
      <w:proofErr w:type="gramStart"/>
      <w:r w:rsidRPr="004436F8">
        <w:rPr>
          <w:rFonts w:ascii="Times New Roman" w:eastAsia="Calibri" w:hAnsi="Times New Roman" w:cs="Times New Roman"/>
          <w:sz w:val="24"/>
          <w:szCs w:val="24"/>
        </w:rPr>
        <w:t>Ломоносовском</w:t>
      </w:r>
      <w:proofErr w:type="gramEnd"/>
      <w:r w:rsidRPr="004436F8">
        <w:rPr>
          <w:rFonts w:ascii="Times New Roman" w:eastAsia="Calibri" w:hAnsi="Times New Roman" w:cs="Times New Roman"/>
          <w:sz w:val="24"/>
          <w:szCs w:val="24"/>
        </w:rPr>
        <w:t xml:space="preserve"> (77,4%), Выбо</w:t>
      </w:r>
      <w:r w:rsidR="00055600" w:rsidRPr="004436F8">
        <w:rPr>
          <w:rFonts w:ascii="Times New Roman" w:eastAsia="Calibri" w:hAnsi="Times New Roman" w:cs="Times New Roman"/>
          <w:sz w:val="24"/>
          <w:szCs w:val="24"/>
        </w:rPr>
        <w:t>ргском (76,9</w:t>
      </w:r>
      <w:r w:rsidRPr="004436F8">
        <w:rPr>
          <w:rFonts w:ascii="Times New Roman" w:eastAsia="Calibri" w:hAnsi="Times New Roman" w:cs="Times New Roman"/>
          <w:sz w:val="24"/>
          <w:szCs w:val="24"/>
        </w:rPr>
        <w:t>%),</w:t>
      </w:r>
      <w:r w:rsidR="00055600" w:rsidRPr="004436F8">
        <w:rPr>
          <w:rFonts w:ascii="Times New Roman" w:eastAsia="Calibri" w:hAnsi="Times New Roman" w:cs="Times New Roman"/>
          <w:sz w:val="24"/>
          <w:szCs w:val="24"/>
        </w:rPr>
        <w:t xml:space="preserve"> Сосновоборском (69%), </w:t>
      </w:r>
      <w:proofErr w:type="spellStart"/>
      <w:r w:rsidR="00964177" w:rsidRPr="004436F8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="00964177" w:rsidRPr="004436F8">
        <w:rPr>
          <w:rFonts w:ascii="Times New Roman" w:eastAsia="Calibri" w:hAnsi="Times New Roman" w:cs="Times New Roman"/>
          <w:sz w:val="24"/>
          <w:szCs w:val="24"/>
        </w:rPr>
        <w:t xml:space="preserve"> (67,1</w:t>
      </w:r>
      <w:r w:rsidR="00055600" w:rsidRPr="004436F8">
        <w:rPr>
          <w:rFonts w:ascii="Times New Roman" w:eastAsia="Calibri" w:hAnsi="Times New Roman" w:cs="Times New Roman"/>
          <w:sz w:val="24"/>
          <w:szCs w:val="24"/>
        </w:rPr>
        <w:t>%),</w:t>
      </w:r>
      <w:r w:rsidR="00964177" w:rsidRPr="00443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4177" w:rsidRPr="004436F8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964177" w:rsidRPr="004436F8">
        <w:rPr>
          <w:rFonts w:ascii="Times New Roman" w:eastAsia="Calibri" w:hAnsi="Times New Roman" w:cs="Times New Roman"/>
          <w:sz w:val="24"/>
          <w:szCs w:val="24"/>
        </w:rPr>
        <w:t xml:space="preserve"> (65,3%), </w:t>
      </w:r>
      <w:proofErr w:type="spellStart"/>
      <w:r w:rsidR="00964177" w:rsidRPr="004436F8">
        <w:rPr>
          <w:rFonts w:ascii="Times New Roman" w:eastAsia="Calibri" w:hAnsi="Times New Roman" w:cs="Times New Roman"/>
          <w:sz w:val="24"/>
          <w:szCs w:val="24"/>
        </w:rPr>
        <w:t>Сланцевском</w:t>
      </w:r>
      <w:proofErr w:type="spellEnd"/>
      <w:r w:rsidR="00964177" w:rsidRPr="004436F8">
        <w:rPr>
          <w:rFonts w:ascii="Times New Roman" w:eastAsia="Calibri" w:hAnsi="Times New Roman" w:cs="Times New Roman"/>
          <w:sz w:val="24"/>
          <w:szCs w:val="24"/>
        </w:rPr>
        <w:t xml:space="preserve"> (64,9%), Кировском (63,8%), </w:t>
      </w:r>
      <w:proofErr w:type="spellStart"/>
      <w:r w:rsidR="00964177" w:rsidRPr="004436F8">
        <w:rPr>
          <w:rFonts w:ascii="Times New Roman" w:eastAsia="Calibri" w:hAnsi="Times New Roman" w:cs="Times New Roman"/>
          <w:sz w:val="24"/>
          <w:szCs w:val="24"/>
        </w:rPr>
        <w:t>Кингисеппском</w:t>
      </w:r>
      <w:proofErr w:type="spellEnd"/>
      <w:r w:rsidR="00964177" w:rsidRPr="004436F8">
        <w:rPr>
          <w:rFonts w:ascii="Times New Roman" w:eastAsia="Calibri" w:hAnsi="Times New Roman" w:cs="Times New Roman"/>
          <w:sz w:val="24"/>
          <w:szCs w:val="24"/>
        </w:rPr>
        <w:t xml:space="preserve"> (62,1%), </w:t>
      </w:r>
      <w:proofErr w:type="spellStart"/>
      <w:r w:rsidR="00964177" w:rsidRPr="004436F8">
        <w:rPr>
          <w:rFonts w:ascii="Times New Roman" w:eastAsia="Calibri" w:hAnsi="Times New Roman" w:cs="Times New Roman"/>
          <w:sz w:val="24"/>
          <w:szCs w:val="24"/>
        </w:rPr>
        <w:t>Подпорожском</w:t>
      </w:r>
      <w:proofErr w:type="spellEnd"/>
      <w:r w:rsidR="00964177" w:rsidRPr="004436F8">
        <w:rPr>
          <w:rFonts w:ascii="Times New Roman" w:eastAsia="Calibri" w:hAnsi="Times New Roman" w:cs="Times New Roman"/>
          <w:sz w:val="24"/>
          <w:szCs w:val="24"/>
        </w:rPr>
        <w:t xml:space="preserve"> (61,4%).</w:t>
      </w:r>
    </w:p>
    <w:p w:rsidR="00C03531" w:rsidRPr="004436F8" w:rsidRDefault="001E4025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Calibri" w:hAnsi="Times New Roman" w:cs="Times New Roman"/>
          <w:sz w:val="24"/>
          <w:szCs w:val="24"/>
        </w:rPr>
        <w:t>Важно, что 79,3</w:t>
      </w:r>
      <w:r w:rsidR="00C03531" w:rsidRPr="004436F8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 в период                  до признания их безработными.</w:t>
      </w:r>
    </w:p>
    <w:p w:rsidR="00C03531" w:rsidRPr="004436F8" w:rsidRDefault="00C03531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:rsidR="00057D58" w:rsidRPr="004436F8" w:rsidRDefault="00057D58" w:rsidP="0005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9409 человек – молодежь в возрасте 14-29 лет (68,1%);</w:t>
      </w:r>
    </w:p>
    <w:p w:rsidR="00C03531" w:rsidRPr="004436F8" w:rsidRDefault="009A0125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6734 женщины (48,8</w:t>
      </w:r>
      <w:r w:rsidR="00C035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03531" w:rsidRPr="004436F8" w:rsidRDefault="009A0125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933</w:t>
      </w:r>
      <w:r w:rsidR="00840E8A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35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числа родителей имеющих, несовершеннолет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детей (6,8</w:t>
      </w:r>
      <w:r w:rsidR="00C035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03531" w:rsidRPr="004436F8" w:rsidRDefault="009A0125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476</w:t>
      </w:r>
      <w:r w:rsidR="00840E8A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(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840E8A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35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93BA6" w:rsidRPr="004436F8" w:rsidRDefault="009A0125" w:rsidP="00876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462</w:t>
      </w:r>
      <w:r w:rsidR="00C035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(3,3</w:t>
      </w:r>
      <w:r w:rsidR="00C035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93455" w:rsidRPr="00876E92" w:rsidRDefault="00093455" w:rsidP="00876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EB" w:rsidRPr="00604C58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:rsidR="003F32EB" w:rsidRPr="00604C58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F32EB" w:rsidRPr="00644E02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</w:t>
      </w:r>
      <w:r w:rsidR="00644E0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ающие трудности в поиске работы</w:t>
      </w:r>
    </w:p>
    <w:p w:rsidR="003F32EB" w:rsidRPr="004436F8" w:rsidRDefault="003F32EB" w:rsidP="0044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работы трудоустроен</w:t>
      </w:r>
      <w:r w:rsidR="009249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5B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9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</w:t>
      </w:r>
      <w:r w:rsidR="009249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испытывающи</w:t>
      </w:r>
      <w:r w:rsidR="009249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поиске работы, из них: </w:t>
      </w:r>
      <w:r w:rsidR="009249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862C9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436F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– граждан </w:t>
      </w:r>
      <w:proofErr w:type="spellStart"/>
      <w:r w:rsidR="004436F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4436F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  <w:r w:rsid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F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– родителей, имеющих несовершеннолетних детей; </w:t>
      </w:r>
      <w:r w:rsidR="0087106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4931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65B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65B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освобожденны</w:t>
      </w:r>
      <w:r w:rsidR="0087106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865B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учреждений, исполняющих наказание в виде лишения свободы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32EB" w:rsidRPr="004436F8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городских жителей – </w:t>
      </w:r>
      <w:r w:rsidR="00862C9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сельских жителей                            – </w:t>
      </w:r>
      <w:r w:rsidR="00862C9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65B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62C9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2EB" w:rsidRPr="00604C58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644E02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Несовершеннолетние гражд</w:t>
      </w:r>
      <w:r w:rsidR="00644E0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ане в возрасте от 14 до 18 лет </w:t>
      </w:r>
    </w:p>
    <w:p w:rsidR="003F32EB" w:rsidRPr="004436F8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работы трудоустроен</w:t>
      </w:r>
      <w:r w:rsidR="00862C9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C9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106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62C9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862C9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862C9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                    от 14 до 18 лет в свободное от учебы время, в том числе:</w:t>
      </w:r>
    </w:p>
    <w:p w:rsidR="003F32EB" w:rsidRPr="004436F8" w:rsidRDefault="00862C93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="001F02F7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7106E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F32EB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:rsidR="003F32EB" w:rsidRPr="004436F8" w:rsidRDefault="00862C93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2563</w:t>
      </w:r>
      <w:r w:rsidR="003F32EB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32EB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:rsidR="003F32EB" w:rsidRPr="004436F8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занимались благоустройством территорий предприятий (организаций) </w:t>
      </w:r>
      <w:r w:rsidR="008D571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населённых пунктов, </w:t>
      </w:r>
      <w:r w:rsidR="0087106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организации культурно-массовых мероприятий, работали с библи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7106E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течными фондами, о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казывали социальную помощь на дому гражданам пожилого возраста, ветеранам и участникам Великой Отечественной войны.</w:t>
      </w:r>
    </w:p>
    <w:p w:rsidR="003F32EB" w:rsidRPr="00604C58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644E02" w:rsidRDefault="00644E02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:rsidR="003F32EB" w:rsidRPr="004436F8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CD62E7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36F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C9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3F32EB" w:rsidRPr="004436F8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:rsidR="00723194" w:rsidRPr="004436F8" w:rsidRDefault="00862C93" w:rsidP="00901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3F32E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безработные граждане;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04C5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32E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3F32E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граждане, стремящиеся возобновить трудовую деятельность после дли</w:t>
      </w:r>
      <w:r w:rsidR="002D751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(более года) перерыва;</w:t>
      </w:r>
      <w:r w:rsidR="004436F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3F32E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впервые ищущие работу, из них: </w:t>
      </w:r>
      <w:r w:rsidR="00701F95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32E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не имеющие квалификации.</w:t>
      </w:r>
      <w:proofErr w:type="gramEnd"/>
    </w:p>
    <w:p w:rsidR="009E27A8" w:rsidRPr="00E10188" w:rsidRDefault="009E27A8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AB4A3D" w:rsidRDefault="00AB4A3D" w:rsidP="00644E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</w:t>
      </w:r>
      <w:r w:rsidR="00644E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сть безработных граждан</w:t>
      </w:r>
    </w:p>
    <w:p w:rsidR="00644E02" w:rsidRPr="00E10188" w:rsidRDefault="00644E02" w:rsidP="00644E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1C145D" w:rsidRPr="004436F8" w:rsidRDefault="006B0CCE" w:rsidP="001C1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занятости продолжается работа по поддержке предпринимательской инициативы безработных граждан. Специалисты биржи труда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2C0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642C0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C145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1C145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предпринимательс</w:t>
      </w:r>
      <w:r w:rsidR="004929A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1C145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</w:t>
      </w:r>
      <w:r w:rsidR="001C145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возможностях открытия собственного дела и о мерах поддержки начинающи</w:t>
      </w:r>
      <w:r w:rsidR="007A7CB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предпринимателям</w:t>
      </w:r>
      <w:r w:rsidR="001C145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области.</w:t>
      </w:r>
    </w:p>
    <w:p w:rsidR="00AB4A3D" w:rsidRPr="004436F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7CB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551FD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536C3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51FD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4436F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7CB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9F473C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="009F473C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F473C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CB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310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536C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4A3D" w:rsidRPr="004436F8" w:rsidRDefault="007A7CB8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473C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="009F473C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9F473C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E6F2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536C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24,5</w:t>
      </w:r>
      <w:r w:rsidR="007536C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всех получивших </w:t>
      </w:r>
      <w:proofErr w:type="spellStart"/>
      <w:r w:rsidR="007536C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7536C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F3BB4" w:rsidRPr="004436F8" w:rsidRDefault="007A7CB8" w:rsidP="00CF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r w:rsidR="008D571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финансовая помощь при государственной регистрации</w:t>
      </w:r>
      <w:r w:rsidR="003B7E6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</w:t>
      </w:r>
      <w:r w:rsidR="008D571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68 безработным гражданам</w:t>
      </w:r>
      <w:r w:rsidR="00CF3BB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F3BB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получили дополнительно финансовую помощь на создание 1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F3BB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для трудоустройства безработных, состоящих на учете в службе занятости</w:t>
      </w:r>
      <w:r w:rsidR="0048099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F3BB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A3D" w:rsidRPr="004436F8" w:rsidRDefault="001F50EE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6642C0" w:rsidRPr="00E10188" w:rsidRDefault="006642C0" w:rsidP="006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:rsidR="00AB4A3D" w:rsidRPr="00CF64F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:rsidR="00AB4A3D" w:rsidRPr="004436F8" w:rsidRDefault="00A528D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F8699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905127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04C5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64FA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ED46E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трудоустроен</w:t>
      </w:r>
      <w:r w:rsidR="00B16BB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C5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409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80,</w:t>
      </w:r>
      <w:r w:rsid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B4A3D" w:rsidRPr="004436F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4436F8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</w:t>
      </w:r>
      <w:r w:rsidR="009161C0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14898 </w:t>
      </w:r>
      <w:r w:rsidR="00C86AF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DC1AE5" w:rsidRPr="004436F8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DB00FA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0A9F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возрасте 16-29 лет; </w:t>
      </w:r>
    </w:p>
    <w:p w:rsidR="00AB4A3D" w:rsidRPr="004436F8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</w:t>
      </w:r>
      <w:r w:rsidR="006E100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16-29 лет;</w:t>
      </w:r>
    </w:p>
    <w:p w:rsidR="00AB4A3D" w:rsidRPr="004436F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социальной адаптации безработных граждан на рынке труда –</w:t>
      </w:r>
      <w:r w:rsidR="006E100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E100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5A6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4436F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1F50E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1B4AE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50E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7C9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18-29 лет.</w:t>
      </w:r>
    </w:p>
    <w:p w:rsidR="00B878D2" w:rsidRPr="004436F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BA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5F113A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0A4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4436F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BA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2465</w:t>
      </w:r>
      <w:r w:rsidR="002D4466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B5BA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0B5BA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0B5BA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B5BA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:rsidR="000742F4" w:rsidRPr="004436F8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о</w:t>
      </w:r>
      <w:r w:rsidR="000B5BA2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586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50% затрат </w:t>
      </w:r>
      <w:r w:rsidR="0058339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5C352F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0742F4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D3" w:rsidRPr="004436F8" w:rsidRDefault="003677D3" w:rsidP="00367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организаций Ленинградской области,</w:t>
      </w:r>
      <w:r w:rsidR="008D571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организующих временное трудоустройство подростков, комитет </w:t>
      </w:r>
      <w:r w:rsidR="006B13F9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6B13F9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 w:rsidR="006B13F9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D571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в форме субсидий государственным (муниципальным) бюджетным и автономным учреждениям Ленинградской области, организующим временное трудоустройство несовершеннолетних граждан в свободное </w:t>
      </w:r>
      <w:r w:rsidR="008D571B"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учебы время.  Грант используется учреждением на оплату труда временно трудоустроенных подростков по направлению службы занятости. </w:t>
      </w:r>
    </w:p>
    <w:p w:rsidR="00A528DC" w:rsidRPr="004436F8" w:rsidRDefault="00A528DC" w:rsidP="00A5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75 учреждений признаны получателями грантов и заключили договора с комитетом на предоставление грантов на общую сумму более 23 млн. руб. на трудоустройство более 3,5 тыс. ребят.</w:t>
      </w:r>
    </w:p>
    <w:p w:rsidR="007E32C4" w:rsidRPr="005872DE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:rsidR="00AB4A3D" w:rsidRPr="00E0410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4436F8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2744</w:t>
      </w:r>
      <w:r w:rsidR="00644E02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B4B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6B3FF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52B4B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6B3FF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52B4B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6B3FF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AB4A3D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6B3FF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8E4B7E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8E4B7E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AB4A3D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77F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4E02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345A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3345A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4436F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6B3FF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04101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04101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 из них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="008E4B7E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6B3FF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B3FF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родители, имеющие детей-инвалидов –  </w:t>
      </w:r>
      <w:r w:rsidR="00644E02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B3FF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B3FF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E3551" w:rsidRPr="004436F8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040A9F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8E4B7E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40A9F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4B7E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040A9F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F862AA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B4A3D" w:rsidRPr="004436F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</w:t>
      </w:r>
      <w:r w:rsidR="002D4466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3345A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939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6B3FF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04101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3C248D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:rsidR="00AB4A3D" w:rsidRPr="004436F8" w:rsidRDefault="00AB4A3D" w:rsidP="00E1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620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B13F9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336BEC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9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</w:t>
      </w:r>
      <w:r w:rsidR="00E10188" w:rsidRPr="00443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в поиске подходящей работы).</w:t>
      </w:r>
    </w:p>
    <w:p w:rsidR="001667D4" w:rsidRDefault="001667D4" w:rsidP="004436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B4A3D" w:rsidRDefault="001667D4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644E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:rsidR="00644E02" w:rsidRPr="005872DE" w:rsidRDefault="00644E02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:rsidR="00AB4A3D" w:rsidRPr="002E5C94" w:rsidRDefault="002D7514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10241C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54B7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EA19B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B4A3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1315</w:t>
      </w:r>
      <w:r w:rsidR="00DA645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человек, относящ</w:t>
      </w:r>
      <w:r w:rsidR="00E0135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</w:t>
      </w:r>
      <w:r w:rsidR="00AB4A3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5,6</w:t>
      </w:r>
      <w:r w:rsidR="00AB4A3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:rsidR="00AB4A3D" w:rsidRPr="002E5C94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</w:t>
      </w:r>
      <w:r w:rsidR="00AB4A3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476</w:t>
      </w:r>
      <w:r w:rsidR="00AB4A3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имеющих инвалидность (</w:t>
      </w:r>
      <w:r w:rsidR="0009463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9463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4A3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:rsidR="00AB4A3D" w:rsidRPr="002E5C9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06C9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8B5877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относящихся к категории инвалидов. </w:t>
      </w:r>
    </w:p>
    <w:p w:rsidR="00AB4A3D" w:rsidRPr="002E5C9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Граждане, относящиеся к категории инвалидов, получили следующие </w:t>
      </w:r>
      <w:proofErr w:type="spell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госуслуги</w:t>
      </w:r>
      <w:proofErr w:type="spell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D7C71" w:rsidRPr="002E5C9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</w:t>
      </w:r>
      <w:r w:rsidR="00910513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2271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910513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 или </w:t>
      </w:r>
      <w:r w:rsidR="005872D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</w:t>
      </w:r>
      <w:r w:rsidR="0092271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F01B7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A3D" w:rsidRPr="002E5C9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безработных граждан –</w:t>
      </w:r>
      <w:r w:rsidR="00910513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92271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="00910513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или </w:t>
      </w:r>
      <w:r w:rsidR="0092271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17,8</w:t>
      </w:r>
      <w:r w:rsidR="0049044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общей численности безработных граждан, получивших </w:t>
      </w: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A17B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2E5C9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социальной адаптации безработных граждан на рынке труда –</w:t>
      </w:r>
      <w:r w:rsidR="00AD56D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0513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2271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910513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                          или </w:t>
      </w:r>
      <w:r w:rsidR="0092271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14,1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2E5C9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C17CFF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A4241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17CFF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4,7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17CFF" w:rsidRPr="002E5C94" w:rsidRDefault="00C17CFF" w:rsidP="00C1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временному трудоустройству безработных граждан, испытывающих трудности в поиске работы – 68 или 43% от общей численности граждан, получивших </w:t>
      </w: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2E5C9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651029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C2D3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1C2D3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E4D8F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C2D3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2E5C94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ональному образованию приступил</w:t>
      </w:r>
      <w:r w:rsidR="003E69FC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0A9F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9FC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относящих</w:t>
      </w:r>
      <w:r w:rsidR="00F862A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к категории инвалидов, </w:t>
      </w:r>
      <w:r w:rsidR="0006349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безработных граждан, </w:t>
      </w:r>
      <w:r w:rsidR="009E27A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06349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составило </w:t>
      </w:r>
      <w:r w:rsid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8,9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49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="0006349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D56D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6349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B00F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незанятых инвалидов</w:t>
      </w:r>
      <w:r w:rsidR="0006349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3496" w:rsidRPr="002E5C94" w:rsidRDefault="0089233B" w:rsidP="0077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F54BAB"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>31 профессии</w:t>
      </w:r>
      <w:r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4BAB"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771271"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кладовщик, маникюрша, машинист экскаватора, оператор котельной, оператор стиральных машин, оператор товарный, оператор электронно-вычислительных и вычислительных машин, охранник, парикмахер, повар, педагог профессионального обучения, специалист по кадрам</w:t>
      </w:r>
      <w:r w:rsidR="00F54BAB"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специалист, «Управление государственными и муниципальными закупками»</w:t>
      </w:r>
      <w:r w:rsidR="00F862AA"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:rsidR="00AB4A3D" w:rsidRPr="002E5C9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49791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B94A7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91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вакансий.</w:t>
      </w:r>
    </w:p>
    <w:p w:rsidR="00AB4A3D" w:rsidRPr="002E5C9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AB4A3D" w:rsidRPr="002E5C94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9B5A6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5306F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 рабочих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E2AF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:rsidR="000742F4" w:rsidRPr="002E5C94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мероприятия «Содействие трудоустройству граждан, нуждающихся </w:t>
      </w:r>
      <w:r w:rsid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742F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дополнительной поддержке», в части содействия занятости инвалидов, п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роизводится</w:t>
      </w:r>
      <w:r w:rsidR="000742F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компенсация расходов работодателей на выплату заработной платы труд</w:t>
      </w:r>
      <w:r w:rsidR="00B5306F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оустроенного инвалида </w:t>
      </w:r>
      <w:r w:rsid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B5306F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доплату</w:t>
      </w:r>
      <w:r w:rsidR="00C050D3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C050D3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1F48F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:rsidR="0086431D" w:rsidRPr="002E5C94" w:rsidRDefault="002E5C94" w:rsidP="0086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 в мероприятии приняли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137 человек 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(94 инвалида,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86431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 наставника).</w:t>
      </w:r>
    </w:p>
    <w:p w:rsidR="005872DE" w:rsidRPr="0086431D" w:rsidRDefault="005872DE" w:rsidP="0086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77446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77446F" w:rsidRPr="002E5C94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обратилось</w:t>
      </w:r>
      <w:r w:rsidR="00057D58"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6574 сельских жителя</w:t>
      </w:r>
      <w:r w:rsidRPr="002E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057D5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3969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57D5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(60,4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:rsidR="0077446F" w:rsidRPr="002E5C94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A83BE9" w:rsidRPr="002E5C9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Из числа безработных граждан – жителей сельской местности:</w:t>
      </w:r>
    </w:p>
    <w:p w:rsidR="0077446F" w:rsidRPr="002E5C9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профессиональной ориентации –</w:t>
      </w:r>
      <w:r w:rsid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</w:t>
      </w:r>
      <w:r w:rsidR="006E1008"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897 </w:t>
      </w: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человек; </w:t>
      </w:r>
    </w:p>
    <w:p w:rsidR="0077446F" w:rsidRPr="002E5C9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психологической поддержке –</w:t>
      </w:r>
      <w:r w:rsidR="00057D58"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975C4"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251 </w:t>
      </w: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человек;</w:t>
      </w:r>
    </w:p>
    <w:p w:rsidR="0077446F" w:rsidRPr="002E5C9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приступили к профессиональному обучению – </w:t>
      </w:r>
      <w:r w:rsidR="00BD51F2"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286</w:t>
      </w:r>
      <w:r w:rsidR="00F862AA"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46F" w:rsidRPr="002E5C9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социальной адаптации –</w:t>
      </w:r>
      <w:r w:rsidR="003975C4"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237 </w:t>
      </w: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человек; </w:t>
      </w:r>
    </w:p>
    <w:p w:rsidR="0077446F" w:rsidRPr="002E5C9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содействию </w:t>
      </w:r>
      <w:proofErr w:type="spellStart"/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самозанятости</w:t>
      </w:r>
      <w:proofErr w:type="spellEnd"/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2A3D30"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77</w:t>
      </w: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человек. </w:t>
      </w:r>
    </w:p>
    <w:p w:rsidR="0077446F" w:rsidRPr="002E5C94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информирования населения о ситуации с занятостью специалисты службы занятости выезжали в сельские поселения, проводили </w:t>
      </w:r>
      <w:r w:rsidR="0052772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 жителями, в том числе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52772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72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школьниками </w:t>
      </w:r>
      <w:r w:rsid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52772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студентами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осуществляли приемы граждан, ищущих работу.</w:t>
      </w:r>
    </w:p>
    <w:p w:rsidR="0077446F" w:rsidRPr="002E5C94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77446F" w:rsidRPr="002E5C94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77446F" w:rsidRPr="002E5C94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057D5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3413F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46F" w:rsidRPr="002E5C94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057D5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1058</w:t>
      </w:r>
      <w:r w:rsidRPr="002E5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57D5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 агропромышленного комплекса (4,</w:t>
      </w:r>
      <w:r w:rsidR="00057D5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:rsidR="0077446F" w:rsidRPr="002E5C94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057D5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1093</w:t>
      </w:r>
      <w:r w:rsidR="0078327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="00057D5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057D5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213</w:t>
      </w:r>
      <w:r w:rsidR="004F585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4E4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201</w:t>
      </w:r>
      <w:r w:rsidR="00796B89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:rsidR="0077446F" w:rsidRPr="00BA1B11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C461B5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:rsidR="00AB4A3D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gramStart"/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</w:t>
      </w:r>
      <w:proofErr w:type="gramEnd"/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наказание</w:t>
      </w:r>
      <w:r w:rsidR="00C461B5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:rsidR="005B4C0B" w:rsidRPr="007C477D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5B4C0B" w:rsidRPr="002E5C94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обратилось </w:t>
      </w:r>
      <w:r w:rsidR="00F54F3C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148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освобожденных из учреждений, исполняющих наказание в виде лишения свободы</w:t>
      </w:r>
      <w:r w:rsidR="00AD56D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Трудоустроено </w:t>
      </w:r>
      <w:r w:rsidR="00F54F3C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AD56D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54F3C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D56D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</w:t>
      </w:r>
      <w:r w:rsidR="00AA7E9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редняя эффективность трудоустройства составила </w:t>
      </w:r>
      <w:r w:rsidR="00F54F3C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AA7E9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AD56D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A7E9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2E5C9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5B4C0B" w:rsidRPr="002E5C9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</w:t>
      </w:r>
      <w:r w:rsidR="00892B8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601</w:t>
      </w:r>
      <w:r w:rsidR="009A1D4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892B8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ьмо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2E5C94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F218D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виде лишения свободы, получили </w:t>
      </w:r>
      <w:proofErr w:type="spellStart"/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</w:t>
      </w:r>
      <w:r w:rsidR="00536B3F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proofErr w:type="spellEnd"/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B4C0B" w:rsidRPr="002E5C9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</w:t>
      </w:r>
      <w:r w:rsidR="002D0B8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2B8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="002D0B8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C36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4C0B" w:rsidRPr="002E5C9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–</w:t>
      </w:r>
      <w:r w:rsidR="002E5C9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2B8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2D0B8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человек;</w:t>
      </w:r>
    </w:p>
    <w:p w:rsidR="005B4C0B" w:rsidRPr="002E5C9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циальной адаптации –</w:t>
      </w:r>
      <w:r w:rsidR="002D0B8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2B8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D0B8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507E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человек;</w:t>
      </w:r>
    </w:p>
    <w:p w:rsidR="005B4C0B" w:rsidRPr="002E5C94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255C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92B8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2BE1" w:rsidRPr="002E5C9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</w:t>
      </w:r>
      <w:r w:rsidR="009E5D2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9E5D2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Управления Федеральной службы исполнения наказания по Санкт-Петербургу </w:t>
      </w:r>
      <w:r w:rsidR="009E5D2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 содействию занятости лиц, подлежащих освобождению </w:t>
      </w:r>
      <w:r w:rsidR="009E5D2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учреждений, исполняющих наказание в виде лишения свободы, </w:t>
      </w:r>
      <w:r w:rsidR="009E5D2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892B8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начала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1666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143B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143B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специалисты</w:t>
      </w:r>
      <w:r w:rsidR="009E5D2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B9503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 посетили исправительн</w:t>
      </w:r>
      <w:r w:rsidR="006143B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143B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255C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УФСИН</w:t>
      </w:r>
      <w:r w:rsidR="009E5D2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5B4C0B" w:rsidRPr="002E5C94" w:rsidRDefault="00892B84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447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="004736E8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DD0E6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освобождению,</w:t>
      </w:r>
      <w:r w:rsidR="00DD7C71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 о предоставляемых службой занятости </w:t>
      </w:r>
      <w:proofErr w:type="spellStart"/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6151F" w:rsidRPr="002E5C94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Специалисты ГКУ ЦЗН ЛО провели в филиалах ФКУ УИИ УФСИН России</w:t>
      </w:r>
      <w:r w:rsidR="0011361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г.</w:t>
      </w:r>
      <w:r w:rsidR="0094359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Петербургу и Ленинградской области, расположенных на территории Ленинградской области</w:t>
      </w:r>
      <w:r w:rsidR="00DD0E6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приём </w:t>
      </w:r>
      <w:r w:rsidR="00037C03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193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</w:t>
      </w:r>
      <w:r w:rsidR="00DD0E65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:rsidR="00642BE1" w:rsidRPr="002E5C94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892B8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B4C0B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</w:t>
      </w:r>
      <w:r w:rsidR="00892B8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F01B7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892B84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F01B7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5D22" w:rsidRPr="002E5C9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2603" w:rsidRPr="006B0F5A" w:rsidRDefault="006B0F5A" w:rsidP="0084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BD51F2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приступили к профессиональному обучению и дополнительному профессиональному образованию (далее – профессиональное обучение) по направлению службы занятости 1899 человек, в том числе: 1064 безработных гражданина; 232 женщины в период отпуска по уходу за ребенком до достижения им возраста трёх лет (далее – женщины);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D51F2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 незанятый гражданин, которому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 (далее – пенсионеры), 5 незанятых инвалидов, обратившихся в службу занятости за содействием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D51F2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поиске подходящей работы, 517 граждан предпенсионного возраста в рамках Федерального проекта «Старшее поколение»</w:t>
      </w:r>
      <w:r w:rsidR="00842603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2E4" w:rsidRPr="006B0F5A" w:rsidRDefault="008B72E4" w:rsidP="0084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граждан осуществлялось по 58 профессиям (направлению подготовки), имеющим спрос на рынке труда региона: водитель погрузчика, водитель автотранспортного средства (различные категории), менеджер по персоналу, специалист по 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госзакупкам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воспитатель, охранник, парикмахер, повар, складской учет на ПК, бухгалтер, 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электромонтер, слесарь-ремонтник и др.</w:t>
      </w:r>
      <w:proofErr w:type="gramEnd"/>
    </w:p>
    <w:p w:rsidR="00842603" w:rsidRPr="006B0F5A" w:rsidRDefault="00842603" w:rsidP="0084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безработных граждан, направленных на </w:t>
      </w:r>
      <w:proofErr w:type="gram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профессиям, составила – </w:t>
      </w:r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61,7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B72E4" w:rsidRPr="006B0F5A" w:rsidRDefault="008B72E4" w:rsidP="008B72E4">
      <w:pPr>
        <w:pStyle w:val="a3"/>
        <w:tabs>
          <w:tab w:val="left" w:pos="0"/>
          <w:tab w:val="left" w:pos="567"/>
        </w:tabs>
        <w:ind w:firstLine="709"/>
        <w:jc w:val="both"/>
        <w:rPr>
          <w:b w:val="0"/>
          <w:bCs w:val="0"/>
        </w:rPr>
      </w:pPr>
      <w:r w:rsidRPr="006B0F5A">
        <w:rPr>
          <w:b w:val="0"/>
          <w:bCs w:val="0"/>
        </w:rPr>
        <w:t xml:space="preserve">Профессиональное обучение женщин осуществлялось под конкретные рабочие места </w:t>
      </w:r>
      <w:r w:rsidR="006B0F5A">
        <w:rPr>
          <w:b w:val="0"/>
          <w:bCs w:val="0"/>
        </w:rPr>
        <w:t xml:space="preserve">                  </w:t>
      </w:r>
      <w:r w:rsidRPr="006B0F5A">
        <w:rPr>
          <w:b w:val="0"/>
          <w:bCs w:val="0"/>
        </w:rPr>
        <w:t xml:space="preserve">по 29 наименованиям профессий (образовательных программ): бухгалтер, «Теория и методика дошкольного образования» (воспитатель), «Складской учет на ПК», парикмахер, портной, педагог дополнительного образования, специалист по государственным и муниципальным закупками, медицинская сестра по физиотерапии, кладовщик, </w:t>
      </w:r>
      <w:proofErr w:type="spellStart"/>
      <w:proofErr w:type="gramStart"/>
      <w:r w:rsidRPr="006B0F5A">
        <w:rPr>
          <w:b w:val="0"/>
          <w:bCs w:val="0"/>
        </w:rPr>
        <w:t>косметик</w:t>
      </w:r>
      <w:proofErr w:type="spellEnd"/>
      <w:r w:rsidRPr="006B0F5A">
        <w:rPr>
          <w:b w:val="0"/>
          <w:bCs w:val="0"/>
        </w:rPr>
        <w:t xml:space="preserve"> и</w:t>
      </w:r>
      <w:proofErr w:type="gramEnd"/>
      <w:r w:rsidRPr="006B0F5A">
        <w:rPr>
          <w:b w:val="0"/>
          <w:bCs w:val="0"/>
        </w:rPr>
        <w:t xml:space="preserve"> другие.</w:t>
      </w:r>
    </w:p>
    <w:p w:rsidR="002D3E85" w:rsidRPr="006B0F5A" w:rsidRDefault="008B72E4" w:rsidP="002D3E85">
      <w:pPr>
        <w:pStyle w:val="a3"/>
        <w:tabs>
          <w:tab w:val="left" w:pos="0"/>
          <w:tab w:val="left" w:pos="567"/>
        </w:tabs>
        <w:ind w:firstLine="709"/>
        <w:jc w:val="both"/>
        <w:rPr>
          <w:b w:val="0"/>
        </w:rPr>
      </w:pPr>
      <w:r w:rsidRPr="006B0F5A">
        <w:rPr>
          <w:b w:val="0"/>
          <w:bCs w:val="0"/>
        </w:rPr>
        <w:t xml:space="preserve">Профессиональное обучение пенсионеров и незанятых инвалидов осуществлялось </w:t>
      </w:r>
      <w:r w:rsidR="006B0F5A">
        <w:rPr>
          <w:b w:val="0"/>
          <w:bCs w:val="0"/>
        </w:rPr>
        <w:t xml:space="preserve">                      </w:t>
      </w:r>
      <w:r w:rsidRPr="006B0F5A">
        <w:rPr>
          <w:b w:val="0"/>
          <w:bCs w:val="0"/>
        </w:rPr>
        <w:t>по 18 профессиям (направлениям подготовки), пользующимся спросом на рынке труда региона: бухгалтер, водитель погрузчика, охранник, оператор котельной, повар, портной, специ</w:t>
      </w:r>
      <w:r w:rsidR="00B428C0" w:rsidRPr="006B0F5A">
        <w:rPr>
          <w:b w:val="0"/>
          <w:bCs w:val="0"/>
        </w:rPr>
        <w:t xml:space="preserve">алист </w:t>
      </w:r>
      <w:r w:rsidR="006B0F5A">
        <w:rPr>
          <w:b w:val="0"/>
          <w:bCs w:val="0"/>
        </w:rPr>
        <w:t xml:space="preserve">              </w:t>
      </w:r>
      <w:r w:rsidR="00B428C0" w:rsidRPr="006B0F5A">
        <w:rPr>
          <w:b w:val="0"/>
          <w:bCs w:val="0"/>
        </w:rPr>
        <w:t>по кадрам, педагог дополните</w:t>
      </w:r>
      <w:r w:rsidRPr="006B0F5A">
        <w:rPr>
          <w:b w:val="0"/>
          <w:bCs w:val="0"/>
        </w:rPr>
        <w:t>льного образования и др.</w:t>
      </w:r>
      <w:r w:rsidR="00C80AC7" w:rsidRPr="006B0F5A">
        <w:rPr>
          <w:b w:val="0"/>
        </w:rPr>
        <w:t xml:space="preserve"> </w:t>
      </w:r>
    </w:p>
    <w:p w:rsidR="002D3E85" w:rsidRPr="006B0F5A" w:rsidRDefault="006B0F5A" w:rsidP="002D3E85">
      <w:pPr>
        <w:pStyle w:val="a3"/>
        <w:tabs>
          <w:tab w:val="left" w:pos="0"/>
          <w:tab w:val="left" w:pos="567"/>
        </w:tabs>
        <w:ind w:firstLine="709"/>
        <w:jc w:val="both"/>
        <w:rPr>
          <w:b w:val="0"/>
        </w:rPr>
      </w:pPr>
      <w:r w:rsidRPr="006B0F5A">
        <w:rPr>
          <w:b w:val="0"/>
        </w:rPr>
        <w:t xml:space="preserve">За 9 месяцев 2019 года </w:t>
      </w:r>
      <w:r w:rsidR="002D3E85" w:rsidRPr="006B0F5A">
        <w:rPr>
          <w:b w:val="0"/>
        </w:rPr>
        <w:t xml:space="preserve">заключено 66 договоров с работодателями по обучению работников предпенсионного возраста и 47 договоров с гражданами предпенсионного возраста. </w:t>
      </w:r>
    </w:p>
    <w:p w:rsidR="002D3E85" w:rsidRPr="006B0F5A" w:rsidRDefault="002D3E85" w:rsidP="002D3E85">
      <w:pPr>
        <w:pStyle w:val="a3"/>
        <w:tabs>
          <w:tab w:val="left" w:pos="0"/>
          <w:tab w:val="left" w:pos="567"/>
        </w:tabs>
        <w:ind w:firstLine="709"/>
        <w:jc w:val="both"/>
        <w:rPr>
          <w:b w:val="0"/>
          <w:bCs w:val="0"/>
        </w:rPr>
      </w:pPr>
      <w:r w:rsidRPr="006B0F5A">
        <w:rPr>
          <w:b w:val="0"/>
        </w:rPr>
        <w:t xml:space="preserve">При организации обучения предпенсионеров широко используются как обычные технологии обучения с отрывом и без отрыва от производства, так и технологии дистанционного обучения. Программы корректируются с учетом заявок граждан и работодателей. </w:t>
      </w:r>
    </w:p>
    <w:p w:rsidR="002D3E85" w:rsidRPr="006B0F5A" w:rsidRDefault="002D3E85" w:rsidP="002D3E85">
      <w:pPr>
        <w:pStyle w:val="ae"/>
        <w:spacing w:before="0" w:beforeAutospacing="0" w:after="0" w:afterAutospacing="0"/>
        <w:ind w:firstLine="567"/>
        <w:jc w:val="both"/>
      </w:pPr>
      <w:proofErr w:type="spellStart"/>
      <w:proofErr w:type="gramStart"/>
      <w:r w:rsidRPr="006B0F5A">
        <w:t>Предпенсионеры</w:t>
      </w:r>
      <w:proofErr w:type="spellEnd"/>
      <w:r w:rsidRPr="006B0F5A">
        <w:t xml:space="preserve"> повышают квалификацию, проходят переподготовку, профессиональное обучение по 52 профессиям (направлениям подготовки), в том числе: развитие профессиональных компетенций в IT технологиях и безопасность жизнедеятельности с учетом требований современной производственной среды, водитель погрузчика, маляр, слесарь механосборочных работ, стропальщик, </w:t>
      </w:r>
      <w:proofErr w:type="spellStart"/>
      <w:r w:rsidRPr="006B0F5A">
        <w:t>электрогазосварщик</w:t>
      </w:r>
      <w:proofErr w:type="spellEnd"/>
      <w:r w:rsidRPr="006B0F5A">
        <w:t xml:space="preserve">, менеджмент в управлении персоналом, 1С-бухгалтерия, делопроизводство и кадры, управление гос. и </w:t>
      </w:r>
      <w:proofErr w:type="spellStart"/>
      <w:r w:rsidRPr="006B0F5A">
        <w:t>муниц</w:t>
      </w:r>
      <w:proofErr w:type="spellEnd"/>
      <w:r w:rsidRPr="006B0F5A">
        <w:t xml:space="preserve">. закупкам, теория и методика дошкольного образования и другие. </w:t>
      </w:r>
      <w:proofErr w:type="gramEnd"/>
    </w:p>
    <w:p w:rsidR="00BB5B87" w:rsidRPr="006B0F5A" w:rsidRDefault="002D3E85" w:rsidP="002D3E85">
      <w:pPr>
        <w:pStyle w:val="ae"/>
        <w:spacing w:before="0" w:beforeAutospacing="0" w:after="0" w:afterAutospacing="0"/>
        <w:ind w:firstLine="567"/>
        <w:jc w:val="both"/>
      </w:pPr>
      <w:r w:rsidRPr="006B0F5A">
        <w:t xml:space="preserve">Организовано групповое обучение работников предпенсионного возраста по заявкам БЭМП, </w:t>
      </w:r>
      <w:proofErr w:type="spellStart"/>
      <w:r w:rsidRPr="006B0F5A">
        <w:t>РУСАЛа</w:t>
      </w:r>
      <w:proofErr w:type="spellEnd"/>
      <w:r w:rsidRPr="006B0F5A">
        <w:t xml:space="preserve">, ЛОЭСК, учреждений социальной защиты населения, системы образования </w:t>
      </w:r>
      <w:r w:rsidR="006B0F5A">
        <w:t xml:space="preserve">                                 </w:t>
      </w:r>
      <w:r w:rsidRPr="006B0F5A">
        <w:t>и здравоохранения ЛО по программам, разработанным совместно с работодателями, включающими дополнительные модули «наставничество», «бережливое производство», «охрана труда», «оказание первой помощи» и др.</w:t>
      </w:r>
    </w:p>
    <w:p w:rsidR="008B72E4" w:rsidRPr="006B0F5A" w:rsidRDefault="008B72E4" w:rsidP="008B7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опережающего обучения работников предприятий, находящихся под угрозой увольнения (в отношении которых проводятся мероприятия по высвобождению, работающих</w:t>
      </w:r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режиме неполного рабочего времени, находящихся в состоянии простоя по инициативе работодателя), а также работников организаций (предприятий), осуществляющих реструктуризацию и (или) модернизацию производства, в соответствии с инвестиционными проектами, направленными на 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прошли 250 работников.</w:t>
      </w:r>
      <w:proofErr w:type="gram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их обучение заключены с 9 предприятиями Ленинградской области: </w:t>
      </w:r>
      <w:proofErr w:type="gram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«Сланцы», </w:t>
      </w:r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Пикалевский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цемент», ООО «БЭМП», АО</w:t>
      </w:r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«ТВСЗ»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ОАО </w:t>
      </w:r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-Лужский Контейнерный терминал</w:t>
      </w:r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«Петербург цемент», ООО «ММ ПОФ 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Пэкеджинг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АО </w:t>
      </w:r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ТихвинСпецМаш</w:t>
      </w:r>
      <w:proofErr w:type="spellEnd"/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ОАО «ЛОЭСК».</w:t>
      </w:r>
      <w:proofErr w:type="gramEnd"/>
    </w:p>
    <w:p w:rsidR="00BB5B87" w:rsidRPr="006B0F5A" w:rsidRDefault="008B72E4" w:rsidP="008B7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организовано по 30 программам (профессиям), в том числе </w:t>
      </w:r>
      <w:r w:rsidR="00BB5B8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профессиям (специальностям), направлениям подготовки: промышленная безопасность современного предприятия, водитель погрузчика, газорезчик, диспетчер, мастер участка, машинист (автовышки и автогидроподъемника, компрессорных установок, крана (крановщик), насосных установок, паровых турбин, сырьевых мельниц), монтер пути, оператор (газораспределительной станции, опытно-промышленной станции, товарный, тяговой маневровой электрической лебедки), сварщик, слесарь (механосборочных работ, по контрольно-измерительным приборам и автоматике, </w:t>
      </w:r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B5B8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BB5B8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котельного оборудования, слесарь-ремонтник по обслуживанию и ремонту оборудования), стропальщик, специалист по управлению персоналом производственного предприятия (экономический, правовой и психологической аспекты), </w:t>
      </w:r>
      <w:proofErr w:type="spellStart"/>
      <w:r w:rsidR="00BB5B8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футеровщик</w:t>
      </w:r>
      <w:proofErr w:type="spellEnd"/>
      <w:r w:rsidR="00BB5B8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-каменщик, электромонтер (по ремонту аппаратуры релейной защиты и автоматике, по ремонту </w:t>
      </w:r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B5B8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обслуживанию электрооборудования).</w:t>
      </w:r>
    </w:p>
    <w:p w:rsidR="005802DE" w:rsidRPr="00DC5BC4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B4A3D" w:rsidRPr="006B0F5A" w:rsidRDefault="00AB4A3D" w:rsidP="00E10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</w:t>
      </w:r>
      <w:r w:rsidR="00E10188" w:rsidRPr="006B0F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ция и психологическая поддержка</w:t>
      </w:r>
    </w:p>
    <w:p w:rsidR="00E10188" w:rsidRPr="006B0F5A" w:rsidRDefault="00E10188" w:rsidP="00E10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B4A3D" w:rsidRPr="006B0F5A" w:rsidRDefault="00722A49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5A">
        <w:rPr>
          <w:rFonts w:ascii="Times New Roman" w:eastAsia="Calibri" w:hAnsi="Times New Roman" w:cs="Times New Roman"/>
          <w:sz w:val="24"/>
          <w:szCs w:val="24"/>
        </w:rPr>
        <w:t xml:space="preserve">За 9 месяцев </w:t>
      </w:r>
      <w:r w:rsidR="00D17137" w:rsidRPr="006B0F5A">
        <w:rPr>
          <w:rFonts w:ascii="Times New Roman" w:eastAsia="Calibri" w:hAnsi="Times New Roman" w:cs="Times New Roman"/>
          <w:sz w:val="24"/>
          <w:szCs w:val="24"/>
        </w:rPr>
        <w:t>2019</w:t>
      </w:r>
      <w:r w:rsidR="00075466" w:rsidRPr="006B0F5A">
        <w:rPr>
          <w:rFonts w:ascii="Times New Roman" w:eastAsia="Calibri" w:hAnsi="Times New Roman" w:cs="Times New Roman"/>
          <w:sz w:val="24"/>
          <w:szCs w:val="24"/>
        </w:rPr>
        <w:t xml:space="preserve"> года г</w:t>
      </w:r>
      <w:r w:rsidR="004D5907" w:rsidRPr="006B0F5A">
        <w:rPr>
          <w:rFonts w:ascii="Times New Roman" w:eastAsia="Calibri" w:hAnsi="Times New Roman" w:cs="Times New Roman"/>
          <w:sz w:val="24"/>
          <w:szCs w:val="24"/>
        </w:rPr>
        <w:t>ражданам оказан</w:t>
      </w:r>
      <w:r w:rsidR="00A01719" w:rsidRPr="006B0F5A">
        <w:rPr>
          <w:rFonts w:ascii="Times New Roman" w:eastAsia="Calibri" w:hAnsi="Times New Roman" w:cs="Times New Roman"/>
          <w:sz w:val="24"/>
          <w:szCs w:val="24"/>
        </w:rPr>
        <w:t>о</w:t>
      </w:r>
      <w:r w:rsidR="004D5907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F5A">
        <w:rPr>
          <w:rFonts w:ascii="Times New Roman" w:eastAsia="Calibri" w:hAnsi="Times New Roman" w:cs="Times New Roman"/>
          <w:sz w:val="24"/>
          <w:szCs w:val="24"/>
        </w:rPr>
        <w:t>23</w:t>
      </w:r>
      <w:r w:rsidRPr="006B0F5A">
        <w:rPr>
          <w:rFonts w:ascii="Times New Roman" w:eastAsia="Calibri" w:hAnsi="Times New Roman" w:cs="Times New Roman"/>
          <w:sz w:val="24"/>
          <w:szCs w:val="24"/>
        </w:rPr>
        <w:t>219</w:t>
      </w:r>
      <w:r w:rsidR="00756E81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6B3F" w:rsidRPr="006B0F5A">
        <w:rPr>
          <w:rFonts w:ascii="Times New Roman" w:eastAsia="Calibri" w:hAnsi="Times New Roman" w:cs="Times New Roman"/>
          <w:sz w:val="24"/>
          <w:szCs w:val="24"/>
        </w:rPr>
        <w:t>гос</w:t>
      </w:r>
      <w:r w:rsidR="00AB4A3D" w:rsidRPr="006B0F5A">
        <w:rPr>
          <w:rFonts w:ascii="Times New Roman" w:eastAsia="Calibri" w:hAnsi="Times New Roman" w:cs="Times New Roman"/>
          <w:sz w:val="24"/>
          <w:szCs w:val="24"/>
        </w:rPr>
        <w:t>услуг</w:t>
      </w:r>
      <w:proofErr w:type="spellEnd"/>
      <w:r w:rsidR="00AB4A3D" w:rsidRPr="006B0F5A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6B0F5A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proofErr w:type="spellStart"/>
      <w:r w:rsidR="004D5907" w:rsidRPr="006B0F5A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="004D5907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6B0F5A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:rsidR="00AB4A3D" w:rsidRPr="006B0F5A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5A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6B0F5A">
        <w:rPr>
          <w:rFonts w:ascii="Times New Roman" w:eastAsia="Calibri" w:hAnsi="Times New Roman" w:cs="Times New Roman"/>
          <w:sz w:val="24"/>
          <w:szCs w:val="24"/>
        </w:rPr>
        <w:t xml:space="preserve">олучатели профориентационных </w:t>
      </w:r>
      <w:r w:rsidRPr="006B0F5A">
        <w:rPr>
          <w:rFonts w:ascii="Times New Roman" w:eastAsia="Calibri" w:hAnsi="Times New Roman" w:cs="Times New Roman"/>
          <w:sz w:val="24"/>
          <w:szCs w:val="24"/>
        </w:rPr>
        <w:t>услуг:</w:t>
      </w:r>
    </w:p>
    <w:p w:rsidR="00AB4A3D" w:rsidRPr="006B0F5A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5A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="004D5907" w:rsidRPr="006B0F5A">
        <w:rPr>
          <w:rFonts w:ascii="Times New Roman" w:eastAsia="Calibri" w:hAnsi="Times New Roman" w:cs="Times New Roman"/>
          <w:sz w:val="24"/>
          <w:szCs w:val="24"/>
        </w:rPr>
        <w:t>в возрасте 14-29 лет –</w:t>
      </w:r>
      <w:r w:rsidR="00756E81" w:rsidRPr="006B0F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>14898</w:t>
      </w:r>
      <w:r w:rsidR="00531177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5A32" w:rsidRPr="006B0F5A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45A32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6B0F5A">
        <w:rPr>
          <w:rFonts w:ascii="Times New Roman" w:eastAsia="Calibri" w:hAnsi="Times New Roman" w:cs="Times New Roman"/>
          <w:sz w:val="24"/>
          <w:szCs w:val="24"/>
        </w:rPr>
        <w:t>у</w:t>
      </w:r>
      <w:r w:rsidRPr="006B0F5A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6B0F5A" w:rsidRDefault="004D5907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5A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6B0F5A">
        <w:rPr>
          <w:rFonts w:ascii="Times New Roman" w:eastAsia="Calibri" w:hAnsi="Times New Roman" w:cs="Times New Roman"/>
          <w:sz w:val="24"/>
          <w:szCs w:val="24"/>
        </w:rPr>
        <w:t>–</w:t>
      </w:r>
      <w:r w:rsidR="006B0F5A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 xml:space="preserve">764 </w:t>
      </w:r>
      <w:proofErr w:type="spellStart"/>
      <w:r w:rsidR="00CB4E6C" w:rsidRPr="006B0F5A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445A32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6B0F5A">
        <w:rPr>
          <w:rFonts w:ascii="Times New Roman" w:eastAsia="Calibri" w:hAnsi="Times New Roman" w:cs="Times New Roman"/>
          <w:sz w:val="24"/>
          <w:szCs w:val="24"/>
        </w:rPr>
        <w:t>услуг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>и</w:t>
      </w:r>
      <w:r w:rsidR="00AB4A3D" w:rsidRPr="006B0F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028F" w:rsidRPr="006B0F5A" w:rsidRDefault="00A24EB6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5A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6B0F5A">
        <w:rPr>
          <w:rFonts w:ascii="Times New Roman" w:eastAsia="Calibri" w:hAnsi="Times New Roman" w:cs="Times New Roman"/>
          <w:sz w:val="24"/>
          <w:szCs w:val="24"/>
        </w:rPr>
        <w:t>–</w:t>
      </w:r>
      <w:r w:rsidR="006B0F5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 xml:space="preserve">413 </w:t>
      </w:r>
      <w:proofErr w:type="spellStart"/>
      <w:r w:rsidR="0034772D" w:rsidRPr="006B0F5A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="00445A32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F5A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6B0F5A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6B0F5A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5A">
        <w:rPr>
          <w:rFonts w:ascii="Times New Roman" w:eastAsia="Calibri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 (</w:t>
      </w:r>
      <w:r w:rsidR="005025BB" w:rsidRPr="006B0F5A">
        <w:rPr>
          <w:rFonts w:ascii="Times New Roman" w:eastAsia="Calibri" w:hAnsi="Times New Roman" w:cs="Times New Roman"/>
          <w:sz w:val="24"/>
          <w:szCs w:val="24"/>
        </w:rPr>
        <w:t>более года) перерыва</w:t>
      </w:r>
      <w:r w:rsidR="004D5907" w:rsidRPr="006B0F5A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B0F5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 xml:space="preserve">870 </w:t>
      </w:r>
      <w:proofErr w:type="spellStart"/>
      <w:r w:rsidR="00CB4E6C" w:rsidRPr="006B0F5A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45A32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6B0F5A">
        <w:rPr>
          <w:rFonts w:ascii="Times New Roman" w:eastAsia="Calibri" w:hAnsi="Times New Roman" w:cs="Times New Roman"/>
          <w:sz w:val="24"/>
          <w:szCs w:val="24"/>
        </w:rPr>
        <w:t>услуг</w:t>
      </w:r>
      <w:r w:rsidR="00312F5D" w:rsidRPr="006B0F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6B0F5A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5A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</w:t>
      </w:r>
      <w:r w:rsidR="005025BB" w:rsidRPr="006B0F5A">
        <w:rPr>
          <w:rFonts w:ascii="Times New Roman" w:eastAsia="Calibri" w:hAnsi="Times New Roman" w:cs="Times New Roman"/>
          <w:sz w:val="24"/>
          <w:szCs w:val="24"/>
        </w:rPr>
        <w:t>к категории инвалидов</w:t>
      </w:r>
      <w:r w:rsidR="00312F5D" w:rsidRPr="006B0F5A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6B0F5A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B0F5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 xml:space="preserve">129 </w:t>
      </w:r>
      <w:proofErr w:type="spellStart"/>
      <w:r w:rsidR="00445A32" w:rsidRPr="006B0F5A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45A32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6B0F5A">
        <w:rPr>
          <w:rFonts w:ascii="Times New Roman" w:eastAsia="Calibri" w:hAnsi="Times New Roman" w:cs="Times New Roman"/>
          <w:sz w:val="24"/>
          <w:szCs w:val="24"/>
        </w:rPr>
        <w:t>у</w:t>
      </w:r>
      <w:r w:rsidRPr="006B0F5A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6B0F5A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5A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proofErr w:type="spellStart"/>
      <w:r w:rsidRPr="006B0F5A">
        <w:rPr>
          <w:rFonts w:ascii="Times New Roman" w:eastAsia="Calibri" w:hAnsi="Times New Roman" w:cs="Times New Roman"/>
          <w:sz w:val="24"/>
          <w:szCs w:val="24"/>
        </w:rPr>
        <w:t>пр</w:t>
      </w:r>
      <w:r w:rsidR="004D5907" w:rsidRPr="006B0F5A">
        <w:rPr>
          <w:rFonts w:ascii="Times New Roman" w:eastAsia="Calibri" w:hAnsi="Times New Roman" w:cs="Times New Roman"/>
          <w:sz w:val="24"/>
          <w:szCs w:val="24"/>
        </w:rPr>
        <w:t>едпенсионного</w:t>
      </w:r>
      <w:proofErr w:type="spellEnd"/>
      <w:r w:rsidR="004D5907" w:rsidRPr="006B0F5A">
        <w:rPr>
          <w:rFonts w:ascii="Times New Roman" w:eastAsia="Calibri" w:hAnsi="Times New Roman" w:cs="Times New Roman"/>
          <w:sz w:val="24"/>
          <w:szCs w:val="24"/>
        </w:rPr>
        <w:t xml:space="preserve"> возраста –</w:t>
      </w:r>
      <w:r w:rsidR="006B0F5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 xml:space="preserve">186  </w:t>
      </w:r>
      <w:proofErr w:type="spellStart"/>
      <w:r w:rsidR="00E82620" w:rsidRPr="006B0F5A">
        <w:rPr>
          <w:rFonts w:ascii="Times New Roman" w:eastAsia="Calibri" w:hAnsi="Times New Roman" w:cs="Times New Roman"/>
          <w:sz w:val="24"/>
          <w:szCs w:val="24"/>
        </w:rPr>
        <w:t>про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>фориентационных</w:t>
      </w:r>
      <w:proofErr w:type="spellEnd"/>
      <w:r w:rsidR="0034772D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6B0F5A">
        <w:rPr>
          <w:rFonts w:ascii="Times New Roman" w:eastAsia="Calibri" w:hAnsi="Times New Roman" w:cs="Times New Roman"/>
          <w:sz w:val="24"/>
          <w:szCs w:val="24"/>
        </w:rPr>
        <w:t>услуг</w:t>
      </w:r>
      <w:r w:rsidR="004A2A65" w:rsidRPr="006B0F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6E81" w:rsidRPr="006B0F5A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5A">
        <w:rPr>
          <w:rFonts w:ascii="Times New Roman" w:eastAsia="Calibri" w:hAnsi="Times New Roman" w:cs="Times New Roman"/>
          <w:sz w:val="24"/>
          <w:szCs w:val="24"/>
        </w:rPr>
        <w:t>Учащимся образовательных организаций ока</w:t>
      </w:r>
      <w:r w:rsidR="007B21C4" w:rsidRPr="006B0F5A">
        <w:rPr>
          <w:rFonts w:ascii="Times New Roman" w:eastAsia="Calibri" w:hAnsi="Times New Roman" w:cs="Times New Roman"/>
          <w:sz w:val="24"/>
          <w:szCs w:val="24"/>
        </w:rPr>
        <w:t xml:space="preserve">заны 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>8201</w:t>
      </w:r>
      <w:r w:rsidR="00075466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5907" w:rsidRPr="006B0F5A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="004D5907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6B0F5A">
        <w:rPr>
          <w:rFonts w:ascii="Times New Roman" w:eastAsia="Calibri" w:hAnsi="Times New Roman" w:cs="Times New Roman"/>
          <w:sz w:val="24"/>
          <w:szCs w:val="24"/>
        </w:rPr>
        <w:t>у</w:t>
      </w:r>
      <w:r w:rsidRPr="006B0F5A">
        <w:rPr>
          <w:rFonts w:ascii="Times New Roman" w:eastAsia="Calibri" w:hAnsi="Times New Roman" w:cs="Times New Roman"/>
          <w:sz w:val="24"/>
          <w:szCs w:val="24"/>
        </w:rPr>
        <w:t>слуг</w:t>
      </w:r>
      <w:r w:rsidR="00722A49" w:rsidRPr="006B0F5A">
        <w:rPr>
          <w:rFonts w:ascii="Times New Roman" w:eastAsia="Calibri" w:hAnsi="Times New Roman" w:cs="Times New Roman"/>
          <w:sz w:val="24"/>
          <w:szCs w:val="24"/>
        </w:rPr>
        <w:t>а</w:t>
      </w:r>
      <w:r w:rsidRPr="006B0F5A">
        <w:rPr>
          <w:rFonts w:ascii="Times New Roman" w:eastAsia="Calibri" w:hAnsi="Times New Roman" w:cs="Times New Roman"/>
          <w:sz w:val="24"/>
          <w:szCs w:val="24"/>
        </w:rPr>
        <w:t>,</w:t>
      </w:r>
      <w:r w:rsidR="00A47BC4" w:rsidRPr="006B0F5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04F1C" w:rsidRPr="006B0F5A">
        <w:rPr>
          <w:rFonts w:ascii="Times New Roman" w:eastAsia="Calibri" w:hAnsi="Times New Roman" w:cs="Times New Roman"/>
          <w:sz w:val="24"/>
          <w:szCs w:val="24"/>
        </w:rPr>
        <w:t>в рамках исполнения государственного задания по профессиональной ориентации, установленного</w:t>
      </w:r>
      <w:r w:rsidR="00AF028F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F1C" w:rsidRPr="006B0F5A">
        <w:rPr>
          <w:rFonts w:ascii="Times New Roman" w:eastAsia="Calibri" w:hAnsi="Times New Roman" w:cs="Times New Roman"/>
          <w:sz w:val="24"/>
          <w:szCs w:val="24"/>
        </w:rPr>
        <w:t>подведомственному комитету ГАОУ ДО Л</w:t>
      </w:r>
      <w:r w:rsidR="00585257" w:rsidRPr="006B0F5A">
        <w:rPr>
          <w:rFonts w:ascii="Times New Roman" w:eastAsia="Calibri" w:hAnsi="Times New Roman" w:cs="Times New Roman"/>
          <w:sz w:val="24"/>
          <w:szCs w:val="24"/>
        </w:rPr>
        <w:t>О</w:t>
      </w:r>
      <w:r w:rsidR="00756E81" w:rsidRPr="006B0F5A">
        <w:rPr>
          <w:rFonts w:ascii="Times New Roman" w:eastAsia="Calibri" w:hAnsi="Times New Roman" w:cs="Times New Roman"/>
          <w:sz w:val="24"/>
          <w:szCs w:val="24"/>
        </w:rPr>
        <w:t xml:space="preserve">  ЦОПП «Профстандарт»</w:t>
      </w:r>
      <w:r w:rsidR="00904F1C" w:rsidRPr="006B0F5A">
        <w:rPr>
          <w:rFonts w:ascii="Times New Roman" w:eastAsia="Calibri" w:hAnsi="Times New Roman" w:cs="Times New Roman"/>
          <w:sz w:val="24"/>
          <w:szCs w:val="24"/>
        </w:rPr>
        <w:t>.</w:t>
      </w:r>
      <w:r w:rsidR="00E40F78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A3D" w:rsidRPr="006B0F5A" w:rsidRDefault="00722A49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5A">
        <w:rPr>
          <w:rFonts w:ascii="Times New Roman" w:eastAsia="Calibri" w:hAnsi="Times New Roman" w:cs="Times New Roman"/>
          <w:sz w:val="24"/>
          <w:szCs w:val="24"/>
        </w:rPr>
        <w:t>Выездные</w:t>
      </w:r>
      <w:r w:rsidR="00CF6728" w:rsidRPr="006B0F5A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профориентационные </w:t>
      </w:r>
      <w:r w:rsidRPr="006B0F5A"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r w:rsidR="00CF6728" w:rsidRPr="006B0F5A">
        <w:rPr>
          <w:rFonts w:ascii="Times New Roman" w:eastAsia="Calibri" w:hAnsi="Times New Roman" w:cs="Times New Roman"/>
          <w:sz w:val="24"/>
          <w:szCs w:val="24"/>
        </w:rPr>
        <w:t xml:space="preserve">проведены для 262 </w:t>
      </w:r>
      <w:r w:rsidRPr="006B0F5A">
        <w:rPr>
          <w:rFonts w:ascii="Times New Roman" w:eastAsia="Calibri" w:hAnsi="Times New Roman" w:cs="Times New Roman"/>
          <w:sz w:val="24"/>
          <w:szCs w:val="24"/>
        </w:rPr>
        <w:t>в</w:t>
      </w:r>
      <w:r w:rsidR="00AB4A3D" w:rsidRPr="006B0F5A">
        <w:rPr>
          <w:rFonts w:ascii="Times New Roman" w:eastAsia="Calibri" w:hAnsi="Times New Roman" w:cs="Times New Roman"/>
          <w:sz w:val="24"/>
          <w:szCs w:val="24"/>
        </w:rPr>
        <w:t>оспитанник</w:t>
      </w:r>
      <w:r w:rsidRPr="006B0F5A">
        <w:rPr>
          <w:rFonts w:ascii="Times New Roman" w:eastAsia="Calibri" w:hAnsi="Times New Roman" w:cs="Times New Roman"/>
          <w:sz w:val="24"/>
          <w:szCs w:val="24"/>
        </w:rPr>
        <w:t>ов</w:t>
      </w:r>
      <w:r w:rsidR="00AB4A3D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6B0F5A">
        <w:rPr>
          <w:rFonts w:ascii="Times New Roman" w:eastAsia="Calibri" w:hAnsi="Times New Roman" w:cs="Times New Roman"/>
          <w:sz w:val="24"/>
          <w:szCs w:val="24"/>
        </w:rPr>
        <w:t>ресурсных центров</w:t>
      </w:r>
      <w:r w:rsidR="00A47BC4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6B0F5A">
        <w:rPr>
          <w:rFonts w:ascii="Times New Roman" w:eastAsia="Calibri" w:hAnsi="Times New Roman" w:cs="Times New Roman"/>
          <w:sz w:val="24"/>
          <w:szCs w:val="24"/>
        </w:rPr>
        <w:t>(детских домов)</w:t>
      </w:r>
      <w:r w:rsidR="00A47BC4" w:rsidRPr="006B0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C4" w:rsidRPr="006B0F5A">
        <w:rPr>
          <w:rFonts w:ascii="Times New Roman" w:eastAsia="Calibri" w:hAnsi="Times New Roman" w:cs="Times New Roman"/>
          <w:sz w:val="24"/>
          <w:szCs w:val="24"/>
        </w:rPr>
        <w:t>и школ-интернатов</w:t>
      </w:r>
      <w:r w:rsidR="00CF6728" w:rsidRPr="006B0F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A3D" w:rsidRPr="006B0F5A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Calibri" w:hAnsi="Times New Roman" w:cs="Times New Roman"/>
          <w:sz w:val="24"/>
          <w:szCs w:val="24"/>
        </w:rPr>
        <w:t>На базе передвижного центра профориентации прош</w:t>
      </w:r>
      <w:r w:rsidR="00141B07" w:rsidRPr="006B0F5A">
        <w:rPr>
          <w:rFonts w:ascii="Times New Roman" w:eastAsia="Calibri" w:hAnsi="Times New Roman" w:cs="Times New Roman"/>
          <w:sz w:val="24"/>
          <w:szCs w:val="24"/>
        </w:rPr>
        <w:t>ли</w:t>
      </w:r>
      <w:r w:rsidRPr="006B0F5A">
        <w:rPr>
          <w:rFonts w:ascii="Times New Roman" w:eastAsia="Calibri" w:hAnsi="Times New Roman" w:cs="Times New Roman"/>
          <w:sz w:val="24"/>
          <w:szCs w:val="24"/>
        </w:rPr>
        <w:t xml:space="preserve"> профориент</w:t>
      </w:r>
      <w:r w:rsidR="001D5771" w:rsidRPr="006B0F5A">
        <w:rPr>
          <w:rFonts w:ascii="Times New Roman" w:eastAsia="Calibri" w:hAnsi="Times New Roman" w:cs="Times New Roman"/>
          <w:sz w:val="24"/>
          <w:szCs w:val="24"/>
        </w:rPr>
        <w:t>ационн</w:t>
      </w:r>
      <w:r w:rsidR="001D5771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тестирование </w:t>
      </w:r>
      <w:r w:rsidR="00A47BC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D5771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</w:t>
      </w:r>
      <w:r w:rsidR="00141B0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рекомендации </w:t>
      </w:r>
      <w:r w:rsidR="00C57C2B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 по выбору профессии, сферы деятельности </w:t>
      </w:r>
      <w:r w:rsidR="00CF672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816 </w:t>
      </w:r>
      <w:r w:rsidR="00AE1C1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8525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0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C1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</w:t>
      </w:r>
      <w:r w:rsidR="00B66BF9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56D5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44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527 обучающие</w:t>
      </w:r>
      <w:r w:rsidR="00904F1C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8525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(деревенских) школ</w:t>
      </w:r>
      <w:r w:rsidR="006434E0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E0" w:rsidRPr="006B0F5A" w:rsidRDefault="00CF6728" w:rsidP="006B0F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756E81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434E0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01719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34E0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D56D5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66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53117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</w:t>
      </w:r>
      <w:r w:rsidR="006434E0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с работодателями</w:t>
      </w:r>
      <w:r w:rsidR="0034772D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01719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услуг</w:t>
      </w:r>
      <w:r w:rsidR="006434E0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диагностике кандидатов на вакант</w:t>
      </w:r>
      <w:r w:rsidR="0034772D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рабочие места протестирован</w:t>
      </w:r>
      <w:r w:rsidR="00032153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49B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6434E0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</w:t>
      </w:r>
      <w:r w:rsidR="00032153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434E0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трудоустроен</w:t>
      </w:r>
      <w:r w:rsidR="00A01719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34E0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 </w:t>
      </w:r>
      <w:r w:rsid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="00A47BC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434E0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6B0F5A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32153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672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образовательных организаций при содействии ГКУ ЦЗН ЛО проведены </w:t>
      </w:r>
      <w:r w:rsidR="00CF672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032153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F5C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F672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032153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(организаций)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6F005A" w:rsidRPr="006B0F5A" w:rsidRDefault="004A2A65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</w:t>
      </w:r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комитета общего и профессионального образования Ленинградской области организовано ежегодное мероприятие</w:t>
      </w:r>
      <w:r w:rsidR="00312E5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«Единый День Профориентации» (д</w:t>
      </w:r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- «ЕДП»). </w:t>
      </w:r>
    </w:p>
    <w:p w:rsidR="006F005A" w:rsidRPr="006B0F5A" w:rsidRDefault="0066644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Мероприятие прошло </w:t>
      </w:r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на 19 площадках, расположенных во всех муниципальных районах (городском округе) Ленинградской области. </w:t>
      </w:r>
    </w:p>
    <w:p w:rsidR="006F005A" w:rsidRPr="006B0F5A" w:rsidRDefault="0034772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площадкой «ЕДП» стал ФГБОУ </w:t>
      </w:r>
      <w:proofErr w:type="gramStart"/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«Санкт-Петер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бургский </w:t>
      </w:r>
      <w:r w:rsidR="00B82B71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аграрный университет». Н</w:t>
      </w:r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главной площадке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«ЕДП»</w:t>
      </w:r>
      <w:r w:rsidR="00312E5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панельная сессия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открытого диалога «</w:t>
      </w:r>
      <w:proofErr w:type="spellStart"/>
      <w:proofErr w:type="gramStart"/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PROF</w:t>
      </w:r>
      <w:proofErr w:type="gramEnd"/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ориентируйся</w:t>
      </w:r>
      <w:proofErr w:type="spellEnd"/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успех!»,  в рамках которой эксперты науки, бизнеса и образования рассказывали о новых подходах к построению успешной карьеры, актуальных проектах для молодежи Ленинградской области. Для участников «ЕДП» организованы карьерные предложения от ведущих предприятий и организаций Ленинградской области </w:t>
      </w:r>
      <w:r w:rsidR="009E27A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proofErr w:type="gramStart"/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экспресс-собеседований</w:t>
      </w:r>
      <w:proofErr w:type="gramEnd"/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интерактивный марафон «Эволюция профессии», направленный на практическое освоение профессиональных компетенций. </w:t>
      </w:r>
    </w:p>
    <w:p w:rsidR="006F005A" w:rsidRPr="006B0F5A" w:rsidRDefault="006F005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«ЕДП» стали 2260 обучающихся образовательных организаций Ленинградской области.</w:t>
      </w:r>
    </w:p>
    <w:p w:rsidR="006F005A" w:rsidRPr="006B0F5A" w:rsidRDefault="006F005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реализует  проект «Наставнич</w:t>
      </w:r>
      <w:r w:rsidR="0034772D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</w:t>
      </w:r>
      <w:r w:rsidR="00312E5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2D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профориентации» (далее</w:t>
      </w:r>
      <w:r w:rsidR="00312E5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2E5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проект), в рамках которого руководители органов исполнительной власти, директора системообразующих предприятий</w:t>
      </w:r>
      <w:r w:rsidR="0066644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деятели культуры и искусств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</w:t>
      </w:r>
      <w:r w:rsidR="00312E5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наставнической деятельности для содействия профессиональному самоопределению обучающейся молодежи Ленинградской области.</w:t>
      </w:r>
    </w:p>
    <w:p w:rsidR="006F005A" w:rsidRPr="006B0F5A" w:rsidRDefault="006F005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период в проекте прин</w:t>
      </w:r>
      <w:r w:rsidR="00312E5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="00312E5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72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наставников и 40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9E27A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в качестве наставляемых.</w:t>
      </w:r>
    </w:p>
    <w:p w:rsidR="0066644A" w:rsidRPr="006B0F5A" w:rsidRDefault="00115DBE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644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наставников-бизнесменов для лучшей молодежи региона стал Юн </w:t>
      </w:r>
      <w:proofErr w:type="spellStart"/>
      <w:r w:rsidR="0066644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Хьяртланд</w:t>
      </w:r>
      <w:proofErr w:type="spellEnd"/>
      <w:r w:rsidR="0066644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ООО «</w:t>
      </w:r>
      <w:proofErr w:type="spellStart"/>
      <w:r w:rsidR="0066644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Йотун</w:t>
      </w:r>
      <w:proofErr w:type="spellEnd"/>
      <w:r w:rsidR="0066644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644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Пэйнтс</w:t>
      </w:r>
      <w:proofErr w:type="spellEnd"/>
      <w:r w:rsidR="0066644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помогает своей наставляемой реализовать социальный проект, направленный на решение проблемы утилизации мусора  путем организации его раздельного сбора. Участница проекта практикует раздельный сбор мусора сначала в своей школе, а затем предлагает транслировать проект во все школы Всеволожского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66644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66644A" w:rsidRPr="006B0F5A" w:rsidRDefault="0066644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подобных проектов позволяет </w:t>
      </w:r>
      <w:proofErr w:type="gram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деловые и личностные качества, а регион формирует резерв из числа высококвалифицированных подготовленных</w:t>
      </w:r>
      <w:r w:rsidR="00115DBE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современных условиях кадров.</w:t>
      </w:r>
    </w:p>
    <w:p w:rsidR="0034772D" w:rsidRPr="006B0F5A" w:rsidRDefault="00531177" w:rsidP="00666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проектов наставляемых уже активно реализуются в рамках проекта </w:t>
      </w:r>
      <w:r w:rsidR="009E27A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F005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r w:rsidR="00312E5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Ленинградской области.</w:t>
      </w:r>
      <w:r w:rsidR="0066644A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44A" w:rsidRPr="006B0F5A" w:rsidRDefault="0066644A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работа по курированию работы  наставнических пар и привлечению новых участников проекта продолжается. В июне комитет провел образовательную площадку для наставнических пар на Межрегиональном молодежном образовательном форуме Северо-Западного федерального округа «Ладога».</w:t>
      </w:r>
      <w:r w:rsidR="00115DBE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Наставники-чиновники</w:t>
      </w:r>
      <w:r w:rsidR="00115DBE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наставники-бизнесмены Ленинградской области совместно  с </w:t>
      </w:r>
      <w:proofErr w:type="gram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наставляемыми</w:t>
      </w:r>
      <w:proofErr w:type="gram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собрались</w:t>
      </w:r>
      <w:r w:rsidR="00115DBE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площадке, чтобы получить обратную связь о своих проектах от опытных предпринимателей и экспертов Федерального агентства по делам молодежи. </w:t>
      </w:r>
    </w:p>
    <w:p w:rsidR="00CF6728" w:rsidRPr="006B0F5A" w:rsidRDefault="00CF6728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«Единого Дня Трудоустройства», который прошел на территории учебного комплекса ПАО «Ленэнерго»</w:t>
      </w:r>
      <w:r w:rsidR="0053117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наставников и наставляемых, участвующих в проекте</w:t>
      </w:r>
      <w:r w:rsidR="0053117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организовано «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Job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-кафе» - формат кофе-встречи, в рамках которой действующие наставнические группы в неформальной обстановке обсудили  планы  на текущий год по реализации социальных и бизнес проектов, а также поделились друг с другом карьерными и профессиональными амбициями.</w:t>
      </w:r>
      <w:proofErr w:type="gram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3117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</w:t>
      </w:r>
      <w:proofErr w:type="gramStart"/>
      <w:r w:rsidR="0053117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стрече присутствовали 7 наставников и 21 наставляемый.</w:t>
      </w:r>
    </w:p>
    <w:p w:rsidR="0066644A" w:rsidRPr="006B0F5A" w:rsidRDefault="000A4DB7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проектом, который активно реализует служба занятости Ленинградской области, является «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целью которого является вовлечение студентов образовательных организаций среднего профессионального и высшего образования </w:t>
      </w:r>
      <w:r w:rsidR="00115DBE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добровольческую деятельность для содействия в профессиональном самоопределении школьников региона.</w:t>
      </w:r>
    </w:p>
    <w:p w:rsidR="000A4DB7" w:rsidRPr="006B0F5A" w:rsidRDefault="000A4DB7" w:rsidP="000A4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отчетный период в 7 образовательных организациях Ленинградской области были проведены выездные обучающие семинары по 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профориентационному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</w:t>
      </w:r>
      <w:r w:rsidR="00115DBE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студентов Ленинградской области стали профориентационными волонтерами и включились                     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организацию мероприятий службы занятости Ленинградской области по содействию профессиональному </w:t>
      </w:r>
      <w:r w:rsidR="006A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определению школьников региона. </w:t>
      </w:r>
    </w:p>
    <w:p w:rsidR="00C55599" w:rsidRPr="006B0F5A" w:rsidRDefault="00C55599" w:rsidP="00C55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был инициирован совет профконсультантов службы занятости Ленинградской области. Данный консультативно-совещательный орган создан в целях повышения профессионализма специалистов службы занятости Ленинградской области, а также выработки предложений и проектных инициатив в сфере профессиональной ориентации граждан, психологической поддержки и социальной адаптации клиентов службы занятости на рынке труда. </w:t>
      </w:r>
    </w:p>
    <w:p w:rsidR="00C55599" w:rsidRPr="006B0F5A" w:rsidRDefault="00C55599" w:rsidP="00C55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инициативой совета профконсультантов стало формирование единого базового перечня методик для организации работы по профессиональной ориентации, психологической поддержке, социальной адаптации клиентов службы занятости. </w:t>
      </w:r>
    </w:p>
    <w:p w:rsidR="00CF6728" w:rsidRPr="006B0F5A" w:rsidRDefault="00531177" w:rsidP="00CF6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</w:t>
      </w:r>
      <w:r w:rsidR="00CF672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100 участников слета Губернаторского молодежного трудового отряда Ленинградской области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72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провел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72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семинар-тренинг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72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«Меры поддержки молодежи Ленинградской области»,  в рамках которого специалисты в интерактивной форме познаком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CF672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ситуацией на рынке труда и </w:t>
      </w:r>
      <w:r w:rsidR="00CF672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услугами, направленными на поддержку  подростков и молодежи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региона.</w:t>
      </w:r>
    </w:p>
    <w:p w:rsidR="00AB4A3D" w:rsidRPr="006B0F5A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отным гражданам оказан</w:t>
      </w:r>
      <w:r w:rsidR="00A01719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3117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1004</w:t>
      </w:r>
      <w:r w:rsidR="00756E81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3117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</w:t>
      </w:r>
      <w:r w:rsidR="00C57C2B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активизацию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4A2A65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:rsidR="00AB4A3D" w:rsidRPr="006B0F5A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работных граждан, получивших </w:t>
      </w:r>
      <w:proofErr w:type="spellStart"/>
      <w:r w:rsidR="00445A32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4A2A65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6B0F5A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</w:t>
      </w:r>
      <w:r w:rsidR="00A01719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9E725E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0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6B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31177" w:rsidRPr="006B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179 </w:t>
      </w:r>
      <w:proofErr w:type="spellStart"/>
      <w:r w:rsidR="00445A32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01719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="00445A32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C2B" w:rsidRPr="006B0F5A" w:rsidRDefault="00FE4CF6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9E725E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3117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 </w:t>
      </w:r>
      <w:proofErr w:type="spellStart"/>
      <w:r w:rsidR="00445A32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53117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01719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6749B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93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1719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E32C4" w:rsidRPr="006B0F5A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</w:t>
      </w:r>
      <w:r w:rsidR="004D590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года) </w:t>
      </w:r>
      <w:r w:rsidR="00A01719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 w:rsidR="004D590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15DBE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5E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177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proofErr w:type="spellStart"/>
      <w:r w:rsidR="0034772D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445A32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="00445A32" w:rsidRPr="006B0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6B0F5A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B0F5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AB4A3D" w:rsidRPr="003722AF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AB4A3D" w:rsidRPr="003722A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B4A3D" w:rsidRPr="003722AF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:rsidR="000F4525" w:rsidRPr="00531177" w:rsidRDefault="002330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</w:t>
      </w:r>
      <w:proofErr w:type="spellEnd"/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безработных граждан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2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7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985 </w:t>
      </w:r>
      <w:r w:rsidR="009E725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из них:</w:t>
      </w:r>
      <w:r w:rsidR="009E725E" w:rsidRPr="003722AF">
        <w:rPr>
          <w:rFonts w:ascii="Times New Roman" w:hAnsi="Times New Roman" w:cs="Times New Roman"/>
          <w:sz w:val="24"/>
          <w:szCs w:val="24"/>
        </w:rPr>
        <w:t xml:space="preserve"> </w:t>
      </w:r>
      <w:r w:rsidR="00531177" w:rsidRPr="003722AF">
        <w:rPr>
          <w:rFonts w:ascii="Times New Roman" w:hAnsi="Times New Roman" w:cs="Times New Roman"/>
          <w:sz w:val="24"/>
          <w:szCs w:val="24"/>
        </w:rPr>
        <w:t xml:space="preserve">551 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53117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3117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115DB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9E725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17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F005A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9E725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772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17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7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</w:t>
      </w:r>
      <w:r w:rsidR="009E725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9E5D2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 (</w:t>
      </w:r>
      <w:r w:rsidR="0053117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15,6</w:t>
      </w:r>
      <w:r w:rsidR="009E725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6F005A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7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</w:t>
      </w:r>
      <w:r w:rsidR="007628B0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DF167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17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725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AB4A3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F4525" w:rsidRPr="00176F17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525" w:rsidRPr="00176F17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:rsidR="005802DE" w:rsidRPr="00331E39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51EC" w:rsidRPr="003722AF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 ЦЗН ЛО о</w:t>
      </w:r>
      <w:r w:rsidR="00AB4A3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рганизовано и проведено </w:t>
      </w:r>
      <w:r w:rsidR="00D7690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229</w:t>
      </w:r>
      <w:r w:rsidR="00AB4A3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5F113A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6749B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B4A3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90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11471</w:t>
      </w:r>
      <w:r w:rsidR="008E6EB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человек, </w:t>
      </w:r>
      <w:r w:rsidR="00D7690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1046</w:t>
      </w:r>
      <w:r w:rsidR="00AB4A3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D07400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D7690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  <w:r w:rsidR="00AB4A3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6DC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</w:t>
      </w:r>
      <w:r w:rsidR="00651029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816DC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 w:rsidR="00651029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B4A3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3722AF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651029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</w:t>
      </w:r>
      <w:r w:rsidR="00D7690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380</w:t>
      </w:r>
      <w:r w:rsidR="00651029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="00D07400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3722AF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D7690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129</w:t>
      </w:r>
      <w:r w:rsidR="00176F17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6431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90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EF4FD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1A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55342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мини-ярмарк</w:t>
      </w:r>
      <w:r w:rsidR="00176F17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1A5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72E1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690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03FC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5D22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03FC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межрайонные</w:t>
      </w:r>
      <w:r w:rsidR="005D1A5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03FC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72E1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690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51437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D7690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972E1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A2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районн</w:t>
      </w:r>
      <w:r w:rsidR="00755342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F60A2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</w:t>
      </w:r>
      <w:r w:rsidR="00755342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60A2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05255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 – </w:t>
      </w:r>
      <w:proofErr w:type="gramStart"/>
      <w:r w:rsidR="0005255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дистанционная</w:t>
      </w:r>
      <w:proofErr w:type="gramEnd"/>
      <w:r w:rsidR="0005255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(скайп)</w:t>
      </w:r>
      <w:r w:rsidR="00D76906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Единый день трудоустройства, который проходил на 18 площадках</w:t>
      </w:r>
      <w:r w:rsidR="00703FC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5DCA" w:rsidRPr="003722AF" w:rsidRDefault="00411096" w:rsidP="0037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2667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05255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молодежи, </w:t>
      </w:r>
      <w:r w:rsidR="00442667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972E1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D1A5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442667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5D1A5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предпенсионного возраста;</w:t>
      </w:r>
      <w:r w:rsidR="006B042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2667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6B042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женщин; </w:t>
      </w:r>
      <w:r w:rsidR="00442667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176F17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для лиц, вернувшихся из мест лишения свободы</w:t>
      </w:r>
      <w:r w:rsidR="00E1018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отбывающих наказание условно</w:t>
      </w:r>
      <w:r w:rsidR="0005255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42667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5255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 организации общественных работ</w:t>
      </w:r>
      <w:r w:rsidR="00AB4A3D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298" w:rsidRPr="003722AF" w:rsidRDefault="004F1298" w:rsidP="004F12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Информирование населения и работодателей</w:t>
      </w:r>
    </w:p>
    <w:p w:rsidR="004F1298" w:rsidRPr="003722AF" w:rsidRDefault="004F1298" w:rsidP="004F12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                         и оперативные. </w:t>
      </w: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Продолжал эффективно функционировать официальный сайт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www.job.lenobl.ru, на котором размещалась: ежедневная информация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 документы, «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банк» вакансий Ленинградской области. 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более удобного перехода к «банку» вакансий на главной странице размещен баннер портала «Работа в России».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добавлена вкладка «анонсы», где публиковалась информация о предстоящих мероприятиях службы занятости.</w:t>
      </w: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представлены и регулярно обновлялись вакансии: с предоставлением                  жилья и для лиц с ограниченными возможностями.</w:t>
      </w: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на сайте комитета размещалась информация о мероприятиях, проводимых службой занятости, наглядные примеры трудоустройства жителей региона. Активно публиковались истории успеха предпринимателей в рамках проекта «Займись делом». Своими впечатлениями о новом месте работы делились люди с ограничениями по здоровью. Работодатели рассказывали об опыте трудоустройства инвалидов. </w:t>
      </w: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комитета публиковались релизы, связанные с популяризацией рабочих профессий, профессионального обучения, велась </w:t>
      </w:r>
      <w:proofErr w:type="gram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proofErr w:type="gram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пиар-акция в преддверии «Единого дня трудоустройства», который прошел в Ленинградской области в сентябре 2019 года.</w:t>
      </w: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 расширяться группа комитета в социальных сетях «</w:t>
      </w:r>
      <w:proofErr w:type="spell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https://vk.com/ktzn_lo, на </w:t>
      </w:r>
      <w:proofErr w:type="gram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4191 человек. Количество подписчиков с каждым днем увеличивается. Создана закрытая группа «</w:t>
      </w:r>
      <w:proofErr w:type="spell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коллектива службы занятости, в рамках которой можно обсуждать различные проблемы, задавать вопросы, делиться предложениями. </w:t>
      </w: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продолжает свою работу профиль комитета в социальной сети «</w:t>
      </w:r>
      <w:proofErr w:type="spell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https://www.instagram.com/ktzn_lo/, где ежедневно публиковались фотоотчеты с мероприятий и краткая информация о прошедших событиях</w:t>
      </w:r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За 9 месяцев 2019 года на странице «</w:t>
      </w:r>
      <w:proofErr w:type="spellStart"/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Инстаграм</w:t>
      </w:r>
      <w:proofErr w:type="spellEnd"/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размещено 767 публикаций, в том числе постоянные рубрики комитета – </w:t>
      </w:r>
      <w:proofErr w:type="spellStart"/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видеовакансии</w:t>
      </w:r>
      <w:proofErr w:type="spellEnd"/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граждан ищущих работу, </w:t>
      </w:r>
      <w:proofErr w:type="spellStart"/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видеоотзывы</w:t>
      </w:r>
      <w:proofErr w:type="spellEnd"/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трудоустроенных граждан, «Новая работа за 60 секунд».</w:t>
      </w: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Продолжило работу официальное представительство в социальной сети «</w:t>
      </w:r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https://www.facebook.com/groups/1654758288183858/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группе более 200 участников. Комитет стремится быть открытым и доступным для всех пользователей Интернета. </w:t>
      </w: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формирование перспективного кадрового потенциала на территории Ленинградской области одна из главных целей службы занятости. </w:t>
      </w:r>
      <w:r w:rsidRPr="00372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сети позволяют привлечь внимание молодого поколения к работе комитета и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освещать информацию о ситуации на рынке труда Ленинградской области. Подписчики имеют возможность задавать интересующие вопросы специалистам службы занятости, что позволяет гражданам получать нужную информацию оперативно в онлайн режиме. Юридический отдел комитета формирует официальный ответ, который в короткие сроки получает обратившийся.</w:t>
      </w: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работу канал </w:t>
      </w:r>
      <w:r w:rsidRPr="0037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размещаются репортажи, интервью, новостные сюжеты, связанные с работой службы занятости, выступления руководителей, в том числе ролики о создании рабочих мест для инвалидов с реальными участниками и работодателями.</w:t>
      </w:r>
    </w:p>
    <w:p w:rsidR="004F1298" w:rsidRPr="003722AF" w:rsidRDefault="004F1298" w:rsidP="004F1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использовались СМИ регионального и районного масштабов. 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9 месяцев 2019 года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505 материалов: объявлений о предстоящих ярмарках вакансий,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обновлялась информация о количестве свободных рабочих мест, освещались мероприятия службы занятости.</w:t>
      </w:r>
    </w:p>
    <w:p w:rsidR="004F1298" w:rsidRPr="003722AF" w:rsidRDefault="004F1298" w:rsidP="004F1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«Маяк», «Ленинградская биржа труда» и т.д.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размещены информационные материалы, выступления руководителей и</w:t>
      </w:r>
      <w:bookmarkStart w:id="0" w:name="_Toc299357663"/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службы занятости. </w:t>
      </w:r>
    </w:p>
    <w:p w:rsidR="004F1298" w:rsidRPr="003722AF" w:rsidRDefault="004F1298" w:rsidP="004F1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Информация о работе комитета регулярно появлялась и в интернет-изданиях: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37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37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телевизионных канал «Ленинградское областное телевидение», «Ореол».</w:t>
      </w:r>
    </w:p>
    <w:bookmarkEnd w:id="0"/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филиалах ГКУ ЦЗН ЛО функционировали информационные киоски, телефоны «горячей линии», табло «бегущая строка», предоставляющие наиболее важную для клиентов информацию (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работы, перечень предоставляемых услуг и т.д.). Еженедельно ГКУ ЦЗН ЛО направляют информацию о наличии рабочих мест в местные СМИ.</w:t>
      </w: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использоваться публичные точки коллективного доступа к Интернету                          на основе технологии </w:t>
      </w:r>
      <w:proofErr w:type="spell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нацелен на возможность бесплатного доступа к Интернету социально незащищенных категорий населения. </w:t>
      </w:r>
    </w:p>
    <w:p w:rsidR="004F1298" w:rsidRPr="003722AF" w:rsidRDefault="004F1298" w:rsidP="004F1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региона получают возможность доступа к общероссийской базе вакансий, порталу государственных и муниципальных услуг, а также к информации о деятельности органов исполнительной власти Ленинградской области и органов местного самоуправления.</w:t>
      </w:r>
    </w:p>
    <w:p w:rsidR="004F1298" w:rsidRPr="003722AF" w:rsidRDefault="004F1298" w:rsidP="004F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</w:p>
    <w:p w:rsidR="004F1298" w:rsidRPr="00176F17" w:rsidRDefault="004F1298" w:rsidP="004F1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2019 года на сайте комитета опубликовано 422 информационных                          и аналитических материалов. На радио более 90 раз размещена информация о вакансиях, информация о предстоящих мероприятиях службы занятости. На телевидении представлено 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111 информационных материалов и «бегущих строк» с вакансиями и объявлениями службы занятости.</w:t>
      </w:r>
    </w:p>
    <w:p w:rsidR="004F1298" w:rsidRDefault="004F1298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0"/>
          <w:szCs w:val="24"/>
        </w:rPr>
      </w:pPr>
    </w:p>
    <w:p w:rsidR="003722AF" w:rsidRPr="003722AF" w:rsidRDefault="003722AF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0"/>
          <w:szCs w:val="24"/>
        </w:rPr>
      </w:pP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:rsidR="003722AF" w:rsidRDefault="003722AF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2"/>
          <w:szCs w:val="16"/>
        </w:rPr>
      </w:pPr>
    </w:p>
    <w:p w:rsidR="003722AF" w:rsidRPr="003722AF" w:rsidRDefault="003722AF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2"/>
          <w:szCs w:val="16"/>
        </w:rPr>
      </w:pPr>
    </w:p>
    <w:p w:rsidR="00E214AF" w:rsidRPr="003722AF" w:rsidRDefault="002A6C1D" w:rsidP="0012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14AF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E214AF" w:rsidRPr="003722AF" w:rsidRDefault="00C95E38" w:rsidP="00120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E214AF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пособие по безработице выплачено 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  <w:r w:rsidR="00E214AF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гражданам, что на 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FB526D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214AF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за аналогичный период 2018 года (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E214AF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E214AF" w:rsidRPr="003722AF" w:rsidRDefault="00E214AF" w:rsidP="00E21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610,97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на 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73,47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% больше по сравнению с 2018 годом (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387,41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E214AF" w:rsidRPr="003722AF" w:rsidRDefault="00C95E38" w:rsidP="00E21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Сократилось</w:t>
      </w:r>
      <w:r w:rsidR="00E214AF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безработных граждан, получавших пособие по безработице </w:t>
      </w:r>
      <w:r w:rsidR="009E27A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214AF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минимальном размере, доля этой категории граждан составляла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39,74</w:t>
      </w:r>
      <w:r w:rsidR="00E214AF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B1B55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 год –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42,4</w:t>
      </w:r>
      <w:r w:rsidR="001B1B55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214AF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14AF" w:rsidRPr="003722AF" w:rsidRDefault="00E214AF" w:rsidP="00E2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</w:t>
      </w:r>
      <w:r w:rsidR="009E27A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направлению органов службы занятости, составляло </w:t>
      </w:r>
      <w:r w:rsidR="00C95E3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1 046</w:t>
      </w:r>
      <w:r w:rsidR="001B1B5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что на </w:t>
      </w:r>
      <w:r w:rsidR="00C95E3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208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1B1B55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больше, по сравнению с аналогичным периодом 2018 года (</w:t>
      </w:r>
      <w:r w:rsidR="00C95E38"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838</w:t>
      </w:r>
      <w:r w:rsidRPr="00372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человек). </w:t>
      </w:r>
    </w:p>
    <w:p w:rsidR="00E214AF" w:rsidRPr="003722AF" w:rsidRDefault="00E214AF" w:rsidP="00E21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по направлению органов службы занятости, составляла 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4 943,51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(за 2018 год – 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2 563,73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E214AF" w:rsidRPr="003722AF" w:rsidRDefault="00E214AF" w:rsidP="00E2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712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граждан, получавших стипендию в минимальном размере. </w:t>
      </w:r>
      <w:r w:rsidR="0072712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этой категории граждан 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– </w:t>
      </w:r>
      <w:r w:rsidR="0072712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53,7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аналогичном периоде 2018 года – 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59,7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214AF" w:rsidRPr="003722AF" w:rsidRDefault="00E214AF" w:rsidP="00E2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Досрочные пенсии выплачены 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гражданам, за аналогичный период 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– 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3722AF" w:rsidRDefault="00E214AF" w:rsidP="0037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оказана 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за аналогичный период 2018 года – 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гражданам. В связи с истечением установленного периода выплаты пособия по безработице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гражданину, в 2018 году –</w:t>
      </w:r>
      <w:r w:rsid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95E3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гражданам.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2AF" w:rsidRDefault="003722AF" w:rsidP="003722A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722AF" w:rsidRPr="003722AF" w:rsidRDefault="003722AF" w:rsidP="003722A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Социальное партнерство в сфере труда</w:t>
      </w:r>
    </w:p>
    <w:p w:rsidR="00AB4A3D" w:rsidRPr="004261F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133E" w:rsidRPr="003722AF" w:rsidRDefault="006C0875" w:rsidP="0055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</w:t>
      </w:r>
      <w:r w:rsidR="009B133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135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 зарегистрировано 12</w:t>
      </w:r>
      <w:r w:rsidR="009B133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</w:t>
      </w:r>
      <w:r w:rsidR="00ED0FC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труда</w:t>
      </w:r>
      <w:r w:rsidR="00E1018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129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7281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2</w:t>
      </w:r>
      <w:r w:rsidR="000F0129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F17281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</w:t>
      </w:r>
      <w:r w:rsidR="009B133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F17281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D0FC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77A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ED0FC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95148A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77A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5148A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9B133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133E" w:rsidRPr="003722AF" w:rsidRDefault="000F0129" w:rsidP="000F0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01.10.2019</w:t>
      </w:r>
      <w:r w:rsidR="009B133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</w:t>
      </w:r>
      <w:r w:rsidR="00ED0FC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38</w:t>
      </w:r>
      <w:r w:rsidR="00ED0FC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в сфере труда</w:t>
      </w:r>
      <w:r w:rsidR="00E1018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133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1203 коллективных договора организаций области. Численность работников, охваченных коллекти</w:t>
      </w:r>
      <w:r w:rsidR="00ED0FC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договорами, составляет 182,0</w:t>
      </w:r>
      <w:r w:rsidR="009B133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</w:t>
      </w:r>
    </w:p>
    <w:p w:rsidR="006C0875" w:rsidRPr="003722AF" w:rsidRDefault="006C0875" w:rsidP="006C0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Завершены коллективные переговоры по подготовке проектов </w:t>
      </w:r>
      <w:r w:rsidR="002375A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</w:t>
      </w:r>
      <w:proofErr w:type="gramStart"/>
      <w:r w:rsidR="002375A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2375A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2020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375A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Ленинградскому областному трехстороннему соглашению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социально-экономической политики и развитии социального партнерства на 2019-2021 годы</w:t>
      </w:r>
      <w:r w:rsidR="002375A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данных переговоров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достигнута договоренность сторон социального партнерства по вс</w:t>
      </w:r>
      <w:r w:rsidR="006977D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рассматриваемым </w:t>
      </w:r>
      <w:proofErr w:type="spell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вопорсам</w:t>
      </w:r>
      <w:proofErr w:type="spell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33E" w:rsidRPr="003722A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6C0875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5C454B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областной трехсторонней комиссии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</w:t>
      </w:r>
      <w:r w:rsidR="006C0875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(далее – ЛОТК), на которых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вопросы:</w:t>
      </w:r>
    </w:p>
    <w:p w:rsidR="009B133E" w:rsidRPr="003722A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 перспективах развития рынка труда Ленинградской области в 2019 году;</w:t>
      </w:r>
    </w:p>
    <w:p w:rsidR="009B133E" w:rsidRPr="003722A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детской оздоровительной к</w:t>
      </w:r>
      <w:r w:rsidR="00C07E9A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мпании в 2019 году и совершенствовании нормативной правовой базы, регулирующей вопросы оздоровления детей в Ленинградской области;</w:t>
      </w:r>
    </w:p>
    <w:p w:rsidR="009B133E" w:rsidRPr="003722A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задолженности по заработной плате в организациях Ленинградской области;</w:t>
      </w:r>
    </w:p>
    <w:p w:rsidR="009B133E" w:rsidRPr="003722A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с работодателями по созданию рабочих мест для трудоустройства инвалидов;</w:t>
      </w:r>
    </w:p>
    <w:p w:rsidR="009B133E" w:rsidRPr="003722A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 регламента работы Ленинградской областной трехсторонней комиссии по регулированию социально-трудовых отношений;</w:t>
      </w:r>
    </w:p>
    <w:p w:rsidR="009B133E" w:rsidRPr="003722A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мер по обеспечению занятости г</w:t>
      </w:r>
      <w:r w:rsidR="00A159B5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предпенсионного возраста;</w:t>
      </w:r>
    </w:p>
    <w:p w:rsidR="00A159B5" w:rsidRPr="003722AF" w:rsidRDefault="00A159B5" w:rsidP="00A15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социально-экономического развития Ленинградской области в 2018 году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перспективах на 2019 год;</w:t>
      </w:r>
    </w:p>
    <w:p w:rsidR="00A159B5" w:rsidRPr="003722AF" w:rsidRDefault="00A159B5" w:rsidP="00A15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трудовой миграции в Ленинградской области, в том числе о стоимости в 2019 году авансового платежа за патент на осуществление трудовой деятельности иностранными гражданами на территории Ленинградской области</w:t>
      </w:r>
      <w:r w:rsidR="00EF1523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523" w:rsidRPr="003722AF" w:rsidRDefault="00EF1523" w:rsidP="00A15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транспортной системы в Ленинградской области в 2019 году;</w:t>
      </w:r>
    </w:p>
    <w:p w:rsidR="00EC03C0" w:rsidRPr="003722AF" w:rsidRDefault="00EC03C0" w:rsidP="00EC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проектах обязатель</w:t>
      </w:r>
      <w:proofErr w:type="gram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2020 год к Ленинградскому областному трехстороннему соглашению о проведении социально-экономической политики и развитии социального партнерства на 2019-2021 годы и Регионального соглашения о минимальной заработной плате в Ленинградской области на 2020 год;</w:t>
      </w:r>
    </w:p>
    <w:p w:rsidR="00EC03C0" w:rsidRPr="003722AF" w:rsidRDefault="00EC03C0" w:rsidP="00EC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 областного закона «Об охране труда в Ленинградской области»;</w:t>
      </w:r>
    </w:p>
    <w:p w:rsidR="00EC03C0" w:rsidRPr="003722AF" w:rsidRDefault="00EC03C0" w:rsidP="00EC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</w:t>
      </w:r>
      <w:proofErr w:type="gram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руководителей сторон социального партнерства Ленинградской области</w:t>
      </w:r>
      <w:proofErr w:type="gram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главам администраций муниципальных районов и городского округа Ленинградской области, руководителям организаций всех форм собствен</w:t>
      </w:r>
      <w:r w:rsidR="00FE1223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профсоюзным организациям.</w:t>
      </w:r>
    </w:p>
    <w:p w:rsidR="00EC03C0" w:rsidRPr="003722AF" w:rsidRDefault="00EC03C0" w:rsidP="00EC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заседание комиссии по обеспечению </w:t>
      </w:r>
      <w:r w:rsidR="0032162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развития экономики </w:t>
      </w:r>
      <w:r w:rsidR="00FC0E35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стабильности </w:t>
      </w:r>
      <w:proofErr w:type="gram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</w:t>
      </w:r>
      <w:r w:rsidR="0032162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по рассмотрению ситуации </w:t>
      </w:r>
      <w:r w:rsidR="00FC0E35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задолженностью по заработной плате в организациях</w:t>
      </w:r>
      <w:proofErr w:type="gram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9B133E" w:rsidRPr="003722A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за </w:t>
      </w:r>
      <w:r w:rsidRPr="0037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2018 года, которая утверждена Постановлением Правительства Ленинград</w:t>
      </w:r>
      <w:r w:rsidR="00EC03C0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75A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15.02.2019 № 56,</w:t>
      </w:r>
      <w:r w:rsidR="00EC03C0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EC03C0" w:rsidRPr="0037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C03C0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года Постановление Правительства Ленинградской области</w:t>
      </w:r>
      <w:r w:rsidR="002375A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10.06.2019 № 263 и за </w:t>
      </w:r>
      <w:r w:rsidR="002375A2" w:rsidRPr="0037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375A2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года Постановлением Правительства Ленинградской области от 23.08.2019 № 382.</w:t>
      </w:r>
      <w:proofErr w:type="gramEnd"/>
    </w:p>
    <w:p w:rsidR="009B133E" w:rsidRPr="003722A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в Ленинградской области утверждены Постановлением Правительства Ленинградской области  от 27.02.2019 № 76.</w:t>
      </w:r>
    </w:p>
    <w:p w:rsidR="00EC03C0" w:rsidRPr="003722AF" w:rsidRDefault="00117D55" w:rsidP="00117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Распоряжение Губернатора Ленинградской области «Об организации работы по выполнению Ленинградского областного трехстороннего соглашения о проведении социально-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экономической политики и развитии социального партнерства на 2019-2021 </w:t>
      </w:r>
      <w:proofErr w:type="spell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годыи</w:t>
      </w:r>
      <w:proofErr w:type="spell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</w:t>
      </w:r>
      <w:proofErr w:type="gram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2019 год» от 01.02.2019 № 61-рг.</w:t>
      </w:r>
    </w:p>
    <w:p w:rsidR="00117D55" w:rsidRPr="003722AF" w:rsidRDefault="00117D55" w:rsidP="00117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Распоряжение Губернатора Ленинградской</w:t>
      </w:r>
      <w:r w:rsidR="0032162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«О внесении изменений </w:t>
      </w:r>
      <w:r w:rsidR="00FC0E35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распоряжение Губернатора Ленинградской области от 20 апреля 2018 года № 229-рг </w:t>
      </w:r>
      <w:r w:rsidR="00EC1220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подготовке проектов Ленинградского областного трехстороннего соглашения  о проведении социально-экономической политики и развитии социального партнерства на 2019-2021 годы </w:t>
      </w:r>
      <w:r w:rsidR="00321627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ежегодных обязатель</w:t>
      </w:r>
      <w:proofErr w:type="gram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2019, 2020, 2021 годы» от 17.05.2019 № 362-рг.</w:t>
      </w:r>
    </w:p>
    <w:p w:rsidR="00FC0E35" w:rsidRPr="003722AF" w:rsidRDefault="00FC0E35" w:rsidP="00FC0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Распоряжение Губернатора Ленинградской области «О внесении изменений </w:t>
      </w:r>
      <w:r w:rsidR="00EC1220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распоряжение Губернатора Ленинградской области от 16 ноября 2012 года № 729-рг </w:t>
      </w:r>
      <w:r w:rsidR="00EC1220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состава представителей Правительства Ленинградской области в Ленинградской областной трехсторонней комиссии по регулированию социально-трудовых отношений» </w:t>
      </w:r>
      <w:r w:rsidR="00EC1220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2019 года № 621-рг.</w:t>
      </w:r>
    </w:p>
    <w:p w:rsidR="009B133E" w:rsidRPr="003722AF" w:rsidRDefault="00315C3D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Продолжено</w:t>
      </w:r>
      <w:r w:rsidR="009B133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мониторинг</w:t>
      </w:r>
      <w:r w:rsidR="00B51ED8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133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неформальной занятости на территории Ленинградской области, наличия задолженности по заработной плате перед работниками, а также выполнения работодателями положений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B133E"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соглашения о минимальной заработной плате в Ленинградской области на 2019 год.</w:t>
      </w:r>
    </w:p>
    <w:p w:rsidR="009A32F4" w:rsidRPr="009A32F4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7FB3" w:rsidRPr="00E10188" w:rsidRDefault="00173667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D7FB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7FB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AD7FB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целях обеспечения реализации прав работников на получение объективной информации об условиях и</w:t>
      </w:r>
      <w:r w:rsidR="00FB526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труда на рабочих местах</w:t>
      </w:r>
      <w:r w:rsidR="00AD7FB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7FB3" w:rsidRPr="00E10188" w:rsidRDefault="00173667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14</w:t>
      </w:r>
      <w:r w:rsidR="00AD7FB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экспертиз условий труда в целях </w:t>
      </w:r>
      <w:proofErr w:type="gramStart"/>
      <w:r w:rsidR="00AD7FB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оценки условий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595</w:t>
      </w:r>
      <w:r w:rsidR="00AD7FB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местах, с количеством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занятых на них работников – 724 человека.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14</w:t>
      </w:r>
      <w:r w:rsidR="00AD7FB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 государственной экспертизы условий труда, что составило 100% от количества обращений;</w:t>
      </w:r>
      <w:proofErr w:type="gramEnd"/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результатов специальной оценки условий труда в организациях, осуществляющих свою деятельность на территории Ленинградской области. 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проведения специальной оценки условий труда установлено, что за указанный период 1052 организации Ленинградской области провели специальную оценку условий труда (далее - СОУТ) на 17513 рабочих местах. Общее количество занятых на этих местах работников – 20981 человек. Количество декларируемых рабочих мест – 12852 единицы.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 СОУТ на территории Ленинградской области оказывали</w:t>
      </w:r>
      <w:r w:rsidR="000E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организации, аккредитованные в Минтруд России.</w:t>
      </w:r>
    </w:p>
    <w:p w:rsidR="00AD7FB3" w:rsidRPr="00E10188" w:rsidRDefault="00AD7FB3" w:rsidP="00FB5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FB526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организационно-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обеспечению работы Ленинградской областной Межведомственной комиссии по охране труда, коми</w:t>
      </w:r>
      <w:r w:rsid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 организованы и проведены 3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выездных заседания Ленинградской областной Межведомственной комиссии по охране труда</w:t>
      </w:r>
      <w:r w:rsidR="00FB526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</w:t>
      </w:r>
      <w:r w:rsid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22 обучающими организациями. По итогам проведенного мониторинга на территории Ленинградской области </w:t>
      </w:r>
      <w:r w:rsid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 прошли обучение и проверку знаний требований охраны труда </w:t>
      </w:r>
      <w:r w:rsid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>5077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</w:t>
      </w:r>
      <w:r w:rsid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  <w:r w:rsid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>4712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организаций. </w:t>
      </w:r>
      <w:r w:rsid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государственной программе, за счёт выделенных средств, было обучено 190 человек.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ежемесячный мониторинг действующего законодательства в области охраны труда. По итогам мониторинга подготовлены изменения в региональные нормативные правовые акты. Подготовлен и прошел согласование проект закона «Об охране труда в Ленинградской области».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</w:t>
      </w:r>
      <w:r w:rsid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организованы и проведены мероприятия по охране труда, </w:t>
      </w:r>
      <w:r w:rsid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AD7FB3" w:rsidRPr="00173667" w:rsidRDefault="00173667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D7FB3" w:rsidRP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выездных семинаров по охране труда для руководителей и специалистов </w:t>
      </w:r>
      <w:r w:rsidRPr="00173667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городского округа, Киришского, </w:t>
      </w:r>
      <w:proofErr w:type="spellStart"/>
      <w:r w:rsidRPr="00173667">
        <w:rPr>
          <w:rFonts w:ascii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36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667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173667">
        <w:rPr>
          <w:rFonts w:ascii="Times New Roman" w:hAnsi="Times New Roman" w:cs="Times New Roman"/>
          <w:color w:val="000000"/>
          <w:sz w:val="24"/>
          <w:szCs w:val="24"/>
        </w:rPr>
        <w:t xml:space="preserve">, Выборгского, </w:t>
      </w:r>
      <w:proofErr w:type="spellStart"/>
      <w:r w:rsidRPr="001736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Лодейнопольского</w:t>
      </w:r>
      <w:proofErr w:type="spellEnd"/>
      <w:r w:rsidRPr="001736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667">
        <w:rPr>
          <w:rFonts w:ascii="Times New Roman" w:hAnsi="Times New Roman" w:cs="Times New Roman"/>
          <w:color w:val="000000"/>
          <w:sz w:val="24"/>
          <w:szCs w:val="24"/>
        </w:rPr>
        <w:t>Подпорожского</w:t>
      </w:r>
      <w:proofErr w:type="spellEnd"/>
      <w:r w:rsidRPr="00173667">
        <w:rPr>
          <w:rFonts w:ascii="Times New Roman" w:hAnsi="Times New Roman" w:cs="Times New Roman"/>
          <w:color w:val="000000"/>
          <w:sz w:val="24"/>
          <w:szCs w:val="24"/>
        </w:rPr>
        <w:t xml:space="preserve">, Гатчинского, </w:t>
      </w:r>
      <w:proofErr w:type="spellStart"/>
      <w:r w:rsidRPr="00173667">
        <w:rPr>
          <w:rFonts w:ascii="Times New Roman" w:hAnsi="Times New Roman" w:cs="Times New Roman"/>
          <w:color w:val="000000"/>
          <w:sz w:val="24"/>
          <w:szCs w:val="24"/>
        </w:rPr>
        <w:t>Сланцевского</w:t>
      </w:r>
      <w:proofErr w:type="spellEnd"/>
      <w:r w:rsidRPr="001736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667">
        <w:rPr>
          <w:rFonts w:ascii="Times New Roman" w:hAnsi="Times New Roman" w:cs="Times New Roman"/>
          <w:color w:val="000000"/>
          <w:sz w:val="24"/>
          <w:szCs w:val="24"/>
        </w:rPr>
        <w:t>Кингисепского</w:t>
      </w:r>
      <w:proofErr w:type="spellEnd"/>
      <w:r w:rsidRPr="00173667">
        <w:rPr>
          <w:rFonts w:ascii="Times New Roman" w:hAnsi="Times New Roman" w:cs="Times New Roman"/>
          <w:color w:val="000000"/>
          <w:sz w:val="24"/>
          <w:szCs w:val="24"/>
        </w:rPr>
        <w:t xml:space="preserve">, Тихвинского, </w:t>
      </w:r>
      <w:proofErr w:type="spellStart"/>
      <w:r w:rsidRPr="00173667">
        <w:rPr>
          <w:rFonts w:ascii="Times New Roman" w:hAnsi="Times New Roman" w:cs="Times New Roman"/>
          <w:color w:val="000000"/>
          <w:sz w:val="24"/>
          <w:szCs w:val="24"/>
        </w:rPr>
        <w:t>Волховского</w:t>
      </w:r>
      <w:proofErr w:type="spellEnd"/>
      <w:r w:rsidRPr="001736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667">
        <w:rPr>
          <w:rFonts w:ascii="Times New Roman" w:hAnsi="Times New Roman" w:cs="Times New Roman"/>
          <w:color w:val="000000"/>
          <w:sz w:val="24"/>
          <w:szCs w:val="24"/>
        </w:rPr>
        <w:t>Волосовского</w:t>
      </w:r>
      <w:proofErr w:type="spellEnd"/>
      <w:r w:rsidRPr="001736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667">
        <w:rPr>
          <w:rFonts w:ascii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Pr="00173667">
        <w:rPr>
          <w:rFonts w:ascii="Times New Roman" w:hAnsi="Times New Roman" w:cs="Times New Roman"/>
          <w:color w:val="000000"/>
          <w:sz w:val="24"/>
          <w:szCs w:val="24"/>
        </w:rPr>
        <w:t>, Ломоносовского и Бокситогорского  муниципальных районов</w:t>
      </w:r>
      <w:r w:rsidR="00452CAB" w:rsidRP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B3" w:rsidRP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«Основные тенденции развития и методы совершенствования трудового законодательства в области охраны труда»,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B3" w:rsidRP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приняли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1278</w:t>
      </w:r>
      <w:r w:rsidR="00AD7FB3" w:rsidRPr="0017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AD7FB3" w:rsidRPr="00E10188" w:rsidRDefault="00173667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D7FB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интерактивных обучающих семинара «Территория безопасного труда» по профилактике производственного травматизма с использованием мобильного комплекса по охране труда </w:t>
      </w:r>
      <w:r w:rsidR="000E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D7FB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заведениях Ленинградской области, с общим количеством участников – </w:t>
      </w:r>
      <w:r w:rsidR="006D661D">
        <w:rPr>
          <w:rFonts w:ascii="Times New Roman" w:eastAsia="Times New Roman" w:hAnsi="Times New Roman" w:cs="Times New Roman"/>
          <w:sz w:val="24"/>
          <w:szCs w:val="24"/>
          <w:lang w:eastAsia="ru-RU"/>
        </w:rPr>
        <w:t>561</w:t>
      </w:r>
      <w:bookmarkStart w:id="1" w:name="_GoBack"/>
      <w:bookmarkEnd w:id="1"/>
      <w:r w:rsidR="00AD7FB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0453E" w:rsidRDefault="0000453E" w:rsidP="0000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:rsidR="009823FB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4C" w:rsidRPr="00D23EE2" w:rsidRDefault="005D5E4C" w:rsidP="005D5E4C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21358279"/>
      <w:bookmarkStart w:id="3" w:name="_Hlk517869672"/>
      <w:bookmarkStart w:id="4" w:name="_Hlk526757651"/>
      <w:bookmarkStart w:id="5" w:name="_Hlk526757740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2019 года Управлением по вопросам миграции ГУ МВД России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Санкт-Петербургу и Ленинградской области (далее – УВМ) оформлено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948 разрешений на работу иностранным гражданам, в том числе:</w:t>
      </w:r>
    </w:p>
    <w:p w:rsidR="005D5E4C" w:rsidRPr="00D23EE2" w:rsidRDefault="005D5E4C" w:rsidP="005D5E4C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102 разрешения на работу – согласно ст. 13.2 115-ФЗ (иностранные граждане, являющиеся высококвалифицированными специалистами), в том числе 88 разрешений для граждан с визовым порядком въезда в РФ, 14 разрешений на работу для граждан с безвизовым порядком въезда);</w:t>
      </w:r>
      <w:proofErr w:type="gramEnd"/>
    </w:p>
    <w:p w:rsidR="005D5E4C" w:rsidRPr="00D23EE2" w:rsidRDefault="005D5E4C" w:rsidP="005D5E4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934 разрешения на работу гражданам из стран с визовым режимом въезда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 учетом высококвалифицированных специалистов, прибывших в визовом порядке въезда); 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2019 года выдано 897 разрешений на работу.</w:t>
      </w:r>
    </w:p>
    <w:p w:rsidR="005D5E4C" w:rsidRPr="00D23EE2" w:rsidRDefault="00D23EE2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УВМ оформлено 49823 патента, выдано 49972 патента иностранным гражданам по Ленинградской области.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 – 34306 человек (68,6%);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 – 12639 человек (25,3%);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 – 2078 человек (4,2%);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Молдова – 645 человек (1,3%);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 – 303 человека (0,6%).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без гражданства – 1 человек.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 01.01.2019 аннулировано 1049 патентов иностранным гражданам, отказано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выдаче патентов 806 иностранным гражданам.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26496 уведомлений о привлечении к трудовой деятельности иностранных граждан на территории Ленинградской области, в том числе: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20258 – на основании патентов;</w:t>
      </w:r>
    </w:p>
    <w:p w:rsidR="005D5E4C" w:rsidRPr="00D23EE2" w:rsidRDefault="005D5E4C" w:rsidP="005D5E4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361 – на основании разрешения на работу;</w:t>
      </w:r>
    </w:p>
    <w:p w:rsidR="005D5E4C" w:rsidRPr="00D23EE2" w:rsidRDefault="005D5E4C" w:rsidP="005D5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5877 уведомлений об осуществлении иностранными гражданами трудовой деятельности без получения разрешительных документов, в том числе 4911 уведомлений об осуществлении трудовой деятельности иностранными гражданами из стран – участников Евразийского экономического союза. </w:t>
      </w:r>
    </w:p>
    <w:p w:rsidR="005D5E4C" w:rsidRPr="00D23EE2" w:rsidRDefault="005D5E4C" w:rsidP="005D5E4C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видам экономической деятельности (на основании полученных УВМ уведомлений от работодателей о заключении трудовых договоров с иностранными гражданами, осуществляющими трудовую деятельность в Ленинградской области по патентам):</w:t>
      </w:r>
    </w:p>
    <w:p w:rsidR="005D5E4C" w:rsidRPr="00D23EE2" w:rsidRDefault="00D23EE2" w:rsidP="005D5E4C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26</w:t>
      </w:r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5D5E4C" w:rsidRPr="00D23EE2" w:rsidRDefault="005D5E4C" w:rsidP="005D5E4C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20,9%; </w:t>
      </w:r>
    </w:p>
    <w:p w:rsidR="005D5E4C" w:rsidRPr="00D23EE2" w:rsidRDefault="005D5E4C" w:rsidP="005D5E4C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 и предметов личного производства – 15%;</w:t>
      </w:r>
    </w:p>
    <w:p w:rsidR="00D23EE2" w:rsidRPr="00D23EE2" w:rsidRDefault="00D23EE2" w:rsidP="00D23EE2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с недвижимым имуществом, аренда и предоставление прочих видов услуг – 10,2%; </w:t>
      </w:r>
    </w:p>
    <w:p w:rsidR="005D5E4C" w:rsidRPr="00D23EE2" w:rsidRDefault="005D5E4C" w:rsidP="005D5E4C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охота и лесное хозяйство – 9,5%; </w:t>
      </w:r>
    </w:p>
    <w:p w:rsidR="005D5E4C" w:rsidRPr="00D23EE2" w:rsidRDefault="005D5E4C" w:rsidP="005D5E4C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и связь – 9,5%; </w:t>
      </w:r>
    </w:p>
    <w:p w:rsidR="005D5E4C" w:rsidRPr="00D23EE2" w:rsidRDefault="005D5E4C" w:rsidP="005D5E4C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гостиниц и ресторанов – 5,1%;  </w:t>
      </w:r>
    </w:p>
    <w:p w:rsidR="005D5E4C" w:rsidRPr="00D23EE2" w:rsidRDefault="005D5E4C" w:rsidP="005D5E4C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иные – 3,8%. </w:t>
      </w:r>
    </w:p>
    <w:p w:rsidR="005D5E4C" w:rsidRPr="00D23EE2" w:rsidRDefault="005D5E4C" w:rsidP="005D5E4C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иностранных граждан привлечено к трудовой деятельности по следующим профессиям:</w:t>
      </w:r>
    </w:p>
    <w:p w:rsidR="005D5E4C" w:rsidRPr="00D23EE2" w:rsidRDefault="00FD5DB1" w:rsidP="00FD5DB1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подсобный рабочий – 63,4%; повар – 2,4%; водитель автомобиля – 1,87%; маляр – 1,76%; животновод – 1,23%; грузчик – 1,06%; </w:t>
      </w:r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по уходу за животными – 0,95%</w:t>
      </w:r>
      <w:r w:rsidRP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монтажник – 0,75%; дорожный рабочий – 0,33%; </w:t>
      </w:r>
      <w:proofErr w:type="spellStart"/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0,28%, и другие.</w:t>
      </w:r>
    </w:p>
    <w:p w:rsidR="005D5E4C" w:rsidRPr="00D23EE2" w:rsidRDefault="005D5E4C" w:rsidP="005D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данным УФНС России по Ленинградской области сумма налога на доходы физических лиц, в виде фиксированных авансовых платежей, полученных физическими лицами, являющимися иностранными гражданами за январь-сентябрь 2019 года составила 1 408 805,5 тыс. руб., что на 0,4% меньше суммы, полученной за аналогичный период прошлого года. </w:t>
      </w:r>
    </w:p>
    <w:bookmarkEnd w:id="2"/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Губернатора Ленинградской области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04.06.2014 № 432-рг на территории региона образована межведомственная комиссия Ленинградской области по вопросам привлечения и использования иностранных работников (далее – МВК), из числа представителей Ленинградской областной трехсторонней комиссии по регулированию социально-трудовых отношений, органов исполнительной власти Ленинградской области, Государственной инспекции труда в Ленинградской области, УФНС России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Ленинградской области, ГУ МВД России по Санкт-Петербургу и</w:t>
      </w:r>
      <w:proofErr w:type="gram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на заседаниях МВК рассматриваются вопросы текущего состояния регионального рынка труда, основные показатели трудовой миграции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Ленинградской области, а также заявки работодателей о формировании квот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выдачу разрешений на работу иностранным работникам из стран с визовым порядком въезда 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Ленинградскую область.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задачам МВК относятся: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заявки работодателей), заявок работодателей об увеличении (уменьшении) размера определенной потребности в привлечении иностранных работников для замещения вакантных 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создаваемых рабочих мест либо выполнения работ (оказания услуг) (далее - заявки работодателей об увеличении (уменьшении) размера потребности);</w:t>
      </w:r>
      <w:proofErr w:type="gramEnd"/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об удовлетворении в полном объеме, отклонении полностью или частично заявок работодателей, заявок работодателей об увеличении (уменьшении) размера потребности в порядке и в сроки, установленные </w:t>
      </w:r>
      <w:hyperlink r:id="rId16" w:history="1">
        <w:r w:rsidRPr="00D23E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органами государственной власти субъекта Российской Федерации потребности в привлечении иностранных работников, утвержденными приказом Министерства труда и социальной защиты Российской Федерации от 23 января 2014 года № 27н (распоряжение Губернатора Ленинградской области от 26.07.2019</w:t>
      </w:r>
      <w:proofErr w:type="gram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477-рг);</w:t>
      </w:r>
      <w:proofErr w:type="gramEnd"/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использования работодателями труда иностранных работников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Ленинградской области (распоряжение Губернатора Ленинградской области 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20.11.2017 № 728-рг);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 территории Ленинградской области межправительственных соглашений по организованному набору иностранной рабочей силы (распоряжение Губернатора Ленинградской области от 02.11.2018 № 777-рг);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об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 637» </w:t>
      </w:r>
      <w:bookmarkStart w:id="6" w:name="_Hlk17983298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 Губернатора Ленинградской области от 26.07.2019 № 477-рг).</w:t>
      </w:r>
      <w:bookmarkEnd w:id="6"/>
      <w:proofErr w:type="gramEnd"/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9 месяцев 2019 года состоялось 8 заседаний МВК, в том числе 1 </w:t>
      </w: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</w:t>
      </w:r>
      <w:proofErr w:type="gram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были рассмотрены 35 заявок работодателей о потребности в привлечении иностранных работников на территории Ленинградской области, в том числе: 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20974262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 заявок работодателей для формирования корректировок квоты 2019 года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сторону увеличения на 797 разрешени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заявок работодателей для формирования квоты 2020 года на привлечение 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818 иностранных работников;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заявка работодателя для формирования корректировки квоты 2020 года на привлечение 25 иностранных работников.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заседаний МВК были приняты решения: 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в полном объеме 8 заявок работодателей для формирования корректировки квоты 2019 года в стор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 увеличения на 369 разрешений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работу; 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в полном объеме 12 заявок работодателей для формирования к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воты 2020 года на 471 разрешение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работу; 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в полном объеме 1 заявку работодателя для формирования корректировки квоты 2020 года в сторону увеличения на 25 разрешений на работу; </w:t>
      </w:r>
    </w:p>
    <w:bookmarkEnd w:id="7"/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отклонить в полном объеме 7 заявок работодателей для формирования корректировки квоты 2019 года в сторону увеличения на привлечение 428 иностранных работников в связи 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удовлетворения потребности в рабочей силе по профессиям (специальностям, должностям), указанным в заявке работодателя, за счет региональных трудовых ресурсов, в том числе путем профессионального образования и дополнительного профессионального образования или профессионального обучения незанятых граждан, высвобождаемых работников</w:t>
      </w:r>
      <w:proofErr w:type="gram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перераспределения трудовых ресурсов внутри субъекта Российской Федерации, а также  их привлечения из других субъектов Российской Федерации, трудоустройства выпускников образовательных организаций; 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отклонить в полном объеме 2 заявки работодателей для формирования квоты 2020 года на привлечение 176 иностранных работников в связи с наличием у </w:t>
      </w: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</w:t>
      </w:r>
      <w:proofErr w:type="gram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устраненных нарушений трудового законодательства;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отклонить в полном объеме 5 заявок работодателей для формирования квоты 2020 года 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привлечение 171 иностранного работника в связи с возможностью удовлетворения потребности в рабочей силе по профессиям (специальностям, должностям), указанным в заявке работодателя, за счет региональных трудовых ресурсов, в том числе путем профессионального образования 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 профессионального образования или профессионального обучения незанятых граждан, высвобождаемых работников, перераспределения трудовых ресурсов внутри</w:t>
      </w:r>
      <w:proofErr w:type="gram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Федерации, а также  их привлечения из других субъектов Российской Федерации, трудоустройства выпускников образовательных организаций.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квота на 2019 года с учетом корректировок составляет 2148 разрешений на работу, в счет установленной квоты оформлено 552 разрешени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работу, расход квоты на 01.10.2019 составляет 25,7%.</w:t>
      </w:r>
    </w:p>
    <w:p w:rsidR="005D5E4C" w:rsidRPr="00D23EE2" w:rsidRDefault="00CE27CA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0468476"/>
      <w:bookmarkEnd w:id="3"/>
      <w:bookmarkEnd w:id="4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комитетом рассмотрено 99 запросов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по вопросам миграции </w:t>
      </w:r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МВД России по Санкт-Петербургу и Ленинградской области о выдаче заключений 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и об использовании 844 иностранных специалистов.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комитетом выдано 94 заключения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целесообразности привлечения и использования 828 иностранных работников, в том числе – 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702 по квотируемым специальностям</w:t>
      </w:r>
      <w:bookmarkEnd w:id="8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– 167 чел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(19,8%);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</w:t>
      </w:r>
      <w:proofErr w:type="gram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162 </w:t>
      </w:r>
      <w:r w:rsidR="00FD5DB1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(19,2%);</w:t>
      </w:r>
    </w:p>
    <w:p w:rsidR="00CE27CA" w:rsidRPr="00D23EE2" w:rsidRDefault="00CE27CA" w:rsidP="00CE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Гатчинский – 119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(14,1%);</w:t>
      </w:r>
    </w:p>
    <w:p w:rsidR="00CE27CA" w:rsidRPr="00D23EE2" w:rsidRDefault="00CE27CA" w:rsidP="00CE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 – 113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(13,4%);</w:t>
      </w:r>
    </w:p>
    <w:p w:rsidR="005D5E4C" w:rsidRPr="00D23EE2" w:rsidRDefault="005D5E4C" w:rsidP="00CE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proofErr w:type="gram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102 </w:t>
      </w:r>
      <w:r w:rsidR="00FD5DB1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(12,1%);</w:t>
      </w:r>
    </w:p>
    <w:p w:rsidR="005D5E4C" w:rsidRPr="00D23EE2" w:rsidRDefault="00CE27CA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91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(10,8%);</w:t>
      </w:r>
    </w:p>
    <w:p w:rsidR="00CE27CA" w:rsidRDefault="00CE27CA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</w:t>
      </w:r>
      <w:proofErr w:type="gram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(3,9%);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Сланцевский – 15 </w:t>
      </w:r>
      <w:r w:rsidR="00FD5DB1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FD5DB1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(1,8%);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Ломоносовский – 9 </w:t>
      </w:r>
      <w:r w:rsidR="00FD5DB1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(1,1%)</w:t>
      </w:r>
      <w:r w:rsidR="00CE27CA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</w:t>
      </w:r>
      <w:r w:rsidR="00FD5DB1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FD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(0,8%)</w:t>
      </w:r>
      <w:r w:rsidR="00CE27CA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7CA" w:rsidRPr="00D23EE2" w:rsidRDefault="00CE27CA" w:rsidP="00CE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(0,8%);</w:t>
      </w:r>
    </w:p>
    <w:p w:rsidR="00CE27CA" w:rsidRPr="00D23EE2" w:rsidRDefault="00CE27CA" w:rsidP="00CE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(0,7%);</w:t>
      </w:r>
    </w:p>
    <w:p w:rsidR="00CE27CA" w:rsidRPr="00D23EE2" w:rsidRDefault="00CE27CA" w:rsidP="00CE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Тихвинский – 5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(0,6%);</w:t>
      </w:r>
    </w:p>
    <w:p w:rsidR="00CE27CA" w:rsidRPr="00D23EE2" w:rsidRDefault="00CE27CA" w:rsidP="00CE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 – 5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(0,6%);</w:t>
      </w:r>
    </w:p>
    <w:p w:rsidR="00CE27CA" w:rsidRPr="00D23EE2" w:rsidRDefault="00CE27CA" w:rsidP="00CE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 – 3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(0,3%);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Визовые иностранные работники востребованы из 30 стран. Наибольшее количество иностранных работников работодатели планируют привлечь </w:t>
      </w:r>
      <w:proofErr w:type="gram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Китая – 226 человек (26,8%) для осуществления трудовой деятельности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сельском хозяйстве, в сфере обрабатывающего производства и торговли;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Индии – 158 человек (18,7%) для осуществления трудовой деятельности в сфере строительства, в сфере обрабатывающего производства, в сфере транспортировки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хранения, в сфере деятельности по операциям с недвижимым имуществом; 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Вьетнам – 131 человек (15,5%) для осуществления трудовой деятельности в сфере обрабатывающего производства;</w:t>
      </w:r>
    </w:p>
    <w:p w:rsidR="005D5E4C" w:rsidRPr="00D23EE2" w:rsidRDefault="00470418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Филиппин – 105 человек</w:t>
      </w:r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(12,4%) для осуществления трудовой деятельности </w:t>
      </w:r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транспортировки и хранения;</w:t>
      </w:r>
    </w:p>
    <w:p w:rsidR="005D5E4C" w:rsidRPr="00D23EE2" w:rsidRDefault="00470418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Сербии – 86 человек</w:t>
      </w:r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(10,2%) для осуществления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E4C"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строительства.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 комитетом согласовано привлечение иностранных работников из стран с визовым порядком въезда в РФ по следующим видам экономической деятельности: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316 человек (37,4%);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208 человек (24,6%);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173 человек</w:t>
      </w:r>
      <w:r w:rsid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(20,5%);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хозяйство, охота и лесное хозяйство – 103 человека (12,2%);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и мотоциклов – </w:t>
      </w:r>
      <w:r w:rsid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31 человек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(3,7%);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5 человек (0,6%);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3 человека (0,4%);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прочих видов услуг – 4 человека (0,5%);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электрической энергией, газом и паром; кондиционирование воздуха – </w:t>
      </w:r>
      <w:r w:rsid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(0,1%);</w:t>
      </w:r>
    </w:p>
    <w:p w:rsidR="005D5E4C" w:rsidRPr="00D23EE2" w:rsidRDefault="005D5E4C" w:rsidP="005D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востребованных специалистов 142 человек</w:t>
      </w:r>
      <w:r w:rsid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(16,8%) привлекаются </w:t>
      </w: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неквотируемым</w:t>
      </w:r>
      <w:proofErr w:type="spellEnd"/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 (должностям).</w:t>
      </w:r>
      <w:bookmarkEnd w:id="5"/>
    </w:p>
    <w:p w:rsidR="00994B41" w:rsidRPr="00D23EE2" w:rsidRDefault="005C6C54" w:rsidP="001F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9D2C38" w:rsidRPr="00B91B40" w:rsidRDefault="009D2C38" w:rsidP="009D2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Ленинградской области востребована и продолжает реализовываться </w:t>
      </w:r>
      <w:bookmarkStart w:id="9" w:name="_Hlk509564568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«Оказание содействия добровольному переселению в Ленинградскую область соотечественников, проживающих за рубежом» государственной программы Ленинградской области «Содействие занятости населения Ленинградской области»</w:t>
      </w:r>
      <w:bookmarkEnd w:id="9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- создание благоприятных условий для переселения на территорию Ленинградской области соотечественников, проживающих за рубежом, развитие регионального рынка труда.</w:t>
      </w:r>
    </w:p>
    <w:p w:rsidR="009D2C38" w:rsidRPr="00470418" w:rsidRDefault="009D2C38" w:rsidP="009D2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реализуются мероприятия по следующим основным направлениям: 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правовых, организационных, социально-экономических и информационных условий, способствующих добровольному переселению соотечественников, проживающих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рубежом, в Ленинградскую область для постоянного проживания, быстрому их включению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трудовые и социальные связи региона;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адаптации и интеграции участников подпрограммы и членов их семей в принимающее сообщество, оказание им мер социальной поддержки, предоставление государственных и муниципальных услуг, содействие в жилищном обустройстве;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трудоустройству соотечественников, переселяемых в Ленинградскую область;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талантливой молодежи для получения образования в образовательных организациях, расположенных на территории Ленинградской области.</w:t>
      </w:r>
    </w:p>
    <w:p w:rsidR="009D2C38" w:rsidRPr="00470418" w:rsidRDefault="0047041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9D2C38"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комитет по труду и занятости населения Ленинградской области от Управления по вопросам миграции ГУ МВД России по Санкт-Петербургу и Ленинградской области поступило на рассмотрение 1059 копий заявлений соотечественников.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заявлений, с учетом информации муниципальных районов (городского округа), выбранных заявителями в качестве районов вселения, комитет принял следующие решения: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790 заявлений </w:t>
      </w:r>
      <w:proofErr w:type="gramStart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согласованы</w:t>
      </w:r>
      <w:proofErr w:type="gramEnd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(74,6%);</w:t>
      </w:r>
    </w:p>
    <w:p w:rsidR="009D2C38" w:rsidRPr="00470418" w:rsidRDefault="0047041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269 заявлений</w:t>
      </w:r>
      <w:r w:rsidR="009D2C38"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отклонено (25,4%).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2019 года Управлением по вопросам миграции ГУ МВД России по Санкт-Петербургу и Ленинградской области поставлено на учет в качестве прибывших на территорию вселения 737 участников подпрограммы (92,1% от планового показателя на 2019 год) </w:t>
      </w:r>
      <w:r w:rsid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и 1058 членов их семей. Количество прибывших в Ленинградскую область соотечественников</w:t>
      </w:r>
      <w:r w:rsid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месяцев 2019 года на 12,9% меньше количества прибывших соотечественников за аналогичный период прошлого года.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 в Ленинградскую область переселились 1795 соотечественников из 15 стран. Наибольшее количество соотечественников переселилось из Казахстана – 658 человек (36,7%), Украины – 567 человек (31,6%), Таджикистана – 157 человек (8,7%), Узбекистана – 126 человек (7%), Молдовы – 115 человек (6,4%)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числа прибывших за 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соотечественников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1265 человек (70,5%) трудоспособного возраста (мужчины в возрасте от 16 до 59 лет, женщины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16 до 54 лет); 447 человек (24,9%) в возрасте, не достигшем утвержденного трудоспособного возраста, дети, и 83 человека (4,6%) в возрасте старше утвержденного трудоспособного возраста</w:t>
      </w:r>
      <w:proofErr w:type="gramEnd"/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образования из числа переселившихся за 9 месяцев 2019 года трудоспособных соотечественников (1227 человек): 646 человек (52,7%) имеют высшее профессиональное образование, 397 человек (32,4%) имеют среднее профессиональное образование, 184 человека (14,9%) имеет среднее общее образование.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Переселившиеся соотечественники частично компенсируют дефицит квалифицированных кадров на предприятиях Ленинградской области. Среди всех отраслей экономики, наибольшую потребность в квалифицированных кадрах из числа соотечественников испытывают здравоохранение и образование.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соотечественников решают вопросы трудоустройства до момента вселения 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Ленинградской области или работают в регионе на момент подачи заявления 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подпрограмме. В службу занятости населения Ленинградской области за 9 месяцев 2019 года за содействием в трудоустройстве обратились 35 соотечественников, переселившихся 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Ленинградскую область в рамках реализации подпрограммы.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прибывших за 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востребованных специалистов: инженер – 135 человек; экономист – 94 человека; педагог – 84 человека; врач – 50 человек; медсестра – 33 человека; программист – 32 человека; электрик –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31 человек; водитель – 29 человек; сварщик – 22 человека; воспитатель – 11 человек.</w:t>
      </w:r>
      <w:proofErr w:type="gramEnd"/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медицинские организации государственной системы здравоохранения Ленинградской области с начала 2019 года обратились за получением гарантированного медицинского обслуживания 296 соотечественников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105 участников подпрограммы.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числа прибывших соотечественников за 9 месяцев 2019 года в Единой региональной автоматизированной информационной системе АИС «Социальная защита Ленинградской области» зарегистрированы 6 семей с детьми и 2 гражданина.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вопросам участия в подпрограмме подведомственными учреждениями комитета предоставлены консультации соотечественникам: за 9 месяцев 2019 года предоставлено 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904 консультации, в том числе при личном посещении – 42 консультации, 862 консультации – 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телефону. 451 консультация проведена совместно с Управлением по вопросам миграции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МВД России по Санкт-Петербургу и Ленинградской области.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2019 года 239 соотечественника прошли обучение по программе «Основы правовых, организационных, социально-экономических знаний, способствующих быстрому включению соотечественников в трудовых и социальные отношения Ленинградской области».</w:t>
      </w:r>
      <w:proofErr w:type="gramEnd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по данной программе в 2019 году запланировано обучить 539 человек. 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Соотечественники активно пользуются информационным порталом для потенциальных 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прибывших участников подпрограммы и членов их семьи: </w:t>
      </w:r>
      <w:r w:rsidRP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www.территориятруда</w:t>
      </w:r>
      <w:proofErr w:type="gramStart"/>
      <w:r w:rsidRP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www.tt47.ru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разработан в рамках средств, выделенных на реализацию подпрограммы в 2017 году. 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зарегистрировано 18933 посещения портала 12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 пользователями, за 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 2019 года – 21274 посещения портала 14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876 пользователями. 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информирования соотечественников за рубежом о подпрограмме состоялись видеоконференции с участием представителей Управления по вопросам миграции </w:t>
      </w:r>
      <w:bookmarkStart w:id="10" w:name="_Hlk509567031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МВД России по Санкт-Петербургу и Ленинградской области и службы занятости населения Ленинградской области: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апреля 2019 года с представительством </w:t>
      </w:r>
      <w:bookmarkEnd w:id="10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России в Латвийской Республике;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2019 года с представительством МВД России в Республике Молдова;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2019 года представительством МВД России в Республике Казахстан;</w:t>
      </w:r>
    </w:p>
    <w:p w:rsidR="009D2C38" w:rsidRPr="00470418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2019 года с представительством МВД России в Республике Таджикистан.</w:t>
      </w:r>
    </w:p>
    <w:p w:rsidR="009D2C38" w:rsidRPr="00470418" w:rsidRDefault="009D2C38" w:rsidP="00FE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в режиме видеоконференции, сотрудниками ГКУ ЛО «Агентство трудовых ресурсов», </w:t>
      </w:r>
      <w:proofErr w:type="gramStart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подведомственного</w:t>
      </w:r>
      <w:proofErr w:type="gramEnd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комитету, проводятся консультации с потенциальными заявителями, проживающими за рубежом. </w:t>
      </w:r>
    </w:p>
    <w:p w:rsidR="009D2C38" w:rsidRPr="00470418" w:rsidRDefault="009D2C38" w:rsidP="00FE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 предоставлено 904 консультации, в том числе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посещении – 42 консультации; 862 консультации – по телефону;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451 консультация проведена совместно с Управлением по вопросам миграции ГУ МВД России по Санкт-Петербургу </w:t>
      </w:r>
      <w:r w:rsidR="00FE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Ленинградской области.</w:t>
      </w:r>
    </w:p>
    <w:p w:rsidR="009D2C38" w:rsidRPr="00470418" w:rsidRDefault="009D2C38" w:rsidP="00FE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отдела по работе соотечественниками, беженцами и вынужденными переселенцам УВМ ГУ МВД России по Санкт-Петербургу и Ленинградской области открыто представительство комитета по труду и занятости населения Ленинградской области по согласованию с ГУ МВД России по Санкт-Петербургу и Ленинградской области для предоставления консультаций прибывшим соотечественникам по вопросам трудоустройства в Ленинградской области и другим мероприятиям подпрограммы.</w:t>
      </w:r>
      <w:proofErr w:type="gramEnd"/>
    </w:p>
    <w:p w:rsidR="009D2C38" w:rsidRPr="0010347F" w:rsidRDefault="009D2C38" w:rsidP="009D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2019 года состоялось очередное заседание межведомственной комиссии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реализации подпрограммы «Оказание содействия добровольному переселению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Ленинградскую область соотечественников, проживающих за рубежом» государственной программы Ленинградской области «Содействие занятости населения Ленинградской области»,           на котором были рассмотрены итоги реализации подпрограммы за 1 квартал 2019 года, а также предложения по внесению изменений в действующие критерии участия в подпрограмме </w:t>
      </w:r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повышения ее эффективности</w:t>
      </w:r>
      <w:proofErr w:type="gramEnd"/>
      <w:r w:rsidRPr="0047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доступности. В соответствии с решением межведомственной комиссии подготовлены проекты внесения изменений в подпрограмму и в Регламент приема соотечественников, которые будут согласованы в установленном </w:t>
      </w:r>
      <w:r w:rsidRPr="00314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675B04" w:rsidRPr="0010347F" w:rsidRDefault="00675B04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CB" w:rsidRPr="004261F7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ECB" w:rsidRPr="004261F7" w:rsidSect="004A51EC">
          <w:headerReference w:type="even" r:id="rId17"/>
          <w:headerReference w:type="default" r:id="rId18"/>
          <w:headerReference w:type="first" r:id="rId19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434"/>
        <w:gridCol w:w="868"/>
        <w:gridCol w:w="549"/>
        <w:gridCol w:w="691"/>
        <w:gridCol w:w="585"/>
        <w:gridCol w:w="284"/>
        <w:gridCol w:w="991"/>
        <w:gridCol w:w="568"/>
        <w:gridCol w:w="142"/>
        <w:gridCol w:w="550"/>
        <w:gridCol w:w="867"/>
        <w:gridCol w:w="493"/>
        <w:gridCol w:w="925"/>
        <w:gridCol w:w="415"/>
        <w:gridCol w:w="1002"/>
        <w:gridCol w:w="218"/>
        <w:gridCol w:w="1200"/>
        <w:gridCol w:w="1417"/>
        <w:gridCol w:w="283"/>
      </w:tblGrid>
      <w:tr w:rsidR="006B35AF" w:rsidRPr="00057D58" w:rsidTr="006B35AF">
        <w:trPr>
          <w:gridAfter w:val="2"/>
          <w:wAfter w:w="170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057D58" w:rsidRDefault="006B35AF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057D58" w:rsidRDefault="006B35AF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057D58" w:rsidRDefault="006B35AF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057D58" w:rsidRDefault="006B35AF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057D58" w:rsidRDefault="006B35AF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057D58" w:rsidRDefault="006B35AF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057D58" w:rsidRDefault="006B35AF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057D58" w:rsidRDefault="006B35AF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057D58" w:rsidRDefault="006B35AF" w:rsidP="006B3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D58" w:rsidRPr="00057D58" w:rsidTr="006B35AF">
        <w:trPr>
          <w:gridAfter w:val="2"/>
          <w:wAfter w:w="170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58" w:rsidRPr="00057D58" w:rsidTr="006B35AF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057D58" w:rsidRPr="00057D58" w:rsidTr="006B35AF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9 месяцев 2018-2019 гг.</w:t>
            </w:r>
          </w:p>
        </w:tc>
      </w:tr>
      <w:tr w:rsidR="006B35AF" w:rsidRPr="00057D58" w:rsidTr="006B35A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35AF" w:rsidRPr="006B35AF" w:rsidRDefault="006B35AF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01.10.19  к 01.10.18,               %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35AF" w:rsidRPr="006B35AF" w:rsidRDefault="006B35AF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01.10.19  к 01.01.19,             %</w:t>
            </w:r>
          </w:p>
        </w:tc>
        <w:tc>
          <w:tcPr>
            <w:tcW w:w="283" w:type="dxa"/>
            <w:vAlign w:val="center"/>
          </w:tcPr>
          <w:p w:rsidR="006B35AF" w:rsidRPr="00057D58" w:rsidRDefault="006B35AF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2019  к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D58" w:rsidRPr="006B35AF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D58" w:rsidRPr="006B35AF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          2018 года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       2019 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2018,</w:t>
            </w:r>
          </w:p>
        </w:tc>
        <w:tc>
          <w:tcPr>
            <w:tcW w:w="42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7D58" w:rsidRPr="006B35AF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D58" w:rsidRPr="006B35AF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D58" w:rsidRPr="006B35AF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D58" w:rsidRPr="006B35AF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D58" w:rsidRPr="006B35AF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01.10.19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D58" w:rsidRPr="006B35AF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D58" w:rsidRPr="006B35AF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6B35AF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Сосновоборский </w:t>
            </w:r>
            <w:proofErr w:type="spellStart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057D58" w:rsidTr="006B35AF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21949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23278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58" w:rsidRPr="00057D58" w:rsidRDefault="00057D58" w:rsidP="0005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283" w:type="dxa"/>
            <w:vAlign w:val="center"/>
          </w:tcPr>
          <w:p w:rsidR="00057D58" w:rsidRPr="00057D58" w:rsidRDefault="00057D58" w:rsidP="0005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568"/>
        <w:gridCol w:w="2410"/>
        <w:gridCol w:w="1293"/>
        <w:gridCol w:w="408"/>
        <w:gridCol w:w="1417"/>
        <w:gridCol w:w="1701"/>
        <w:gridCol w:w="1084"/>
        <w:gridCol w:w="334"/>
        <w:gridCol w:w="1056"/>
        <w:gridCol w:w="503"/>
        <w:gridCol w:w="1417"/>
        <w:gridCol w:w="1418"/>
        <w:gridCol w:w="1701"/>
      </w:tblGrid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6B35AF" w:rsidTr="006B35AF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6B35AF" w:rsidTr="006B35AF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01.10.19 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01.10.19  к</w:t>
            </w:r>
          </w:p>
        </w:tc>
      </w:tr>
      <w:tr w:rsidR="006B35AF" w:rsidRPr="006B35AF" w:rsidTr="006B35A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2018 к              9 мес. 2019, %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01.10.18,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01.01.19,</w:t>
            </w:r>
          </w:p>
        </w:tc>
      </w:tr>
      <w:tr w:rsidR="006B35AF" w:rsidRPr="006B35AF" w:rsidTr="006B35A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2018 года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 2019 года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B35AF" w:rsidRPr="006B35AF" w:rsidTr="006B35A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B35AF" w:rsidRPr="006B35AF" w:rsidTr="006B35AF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Сосновоборский </w:t>
            </w: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</w:tr>
      <w:tr w:rsidR="006B35AF" w:rsidRPr="006B35AF" w:rsidTr="006B35A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6B35AF" w:rsidRPr="006B35AF" w:rsidTr="006B35A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</w:tr>
      <w:tr w:rsidR="006B35AF" w:rsidRPr="006B35AF" w:rsidTr="006B35AF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116,6</w:t>
            </w:r>
          </w:p>
        </w:tc>
      </w:tr>
    </w:tbl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AF" w:rsidRDefault="006B35AF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9" w:type="dxa"/>
        <w:tblInd w:w="-176" w:type="dxa"/>
        <w:tblLook w:val="04A0" w:firstRow="1" w:lastRow="0" w:firstColumn="1" w:lastColumn="0" w:noHBand="0" w:noVBand="1"/>
      </w:tblPr>
      <w:tblGrid>
        <w:gridCol w:w="568"/>
        <w:gridCol w:w="2561"/>
        <w:gridCol w:w="2420"/>
        <w:gridCol w:w="2420"/>
        <w:gridCol w:w="2740"/>
        <w:gridCol w:w="2460"/>
        <w:gridCol w:w="2460"/>
      </w:tblGrid>
      <w:tr w:rsidR="006B35AF" w:rsidRPr="006B35AF" w:rsidTr="006B35AF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6B35AF" w:rsidRPr="006B35AF" w:rsidTr="006B35AF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B35AF" w:rsidRPr="006B35AF" w:rsidTr="006B35AF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мес.  2019 года к </w:t>
            </w: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9 мес. 2018 года, %</w:t>
            </w: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B35AF" w:rsidRPr="006B35AF" w:rsidTr="006B35A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8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2018 года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2019 года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2018 года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2019 года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Сосновоборский </w:t>
            </w: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6B35AF" w:rsidRPr="006B35AF" w:rsidTr="006B35AF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15347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13809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AF" w:rsidRPr="006B35AF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</w:tc>
      </w:tr>
    </w:tbl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13"/>
        <w:gridCol w:w="1031"/>
        <w:gridCol w:w="142"/>
        <w:gridCol w:w="889"/>
        <w:gridCol w:w="245"/>
        <w:gridCol w:w="786"/>
        <w:gridCol w:w="348"/>
        <w:gridCol w:w="679"/>
        <w:gridCol w:w="597"/>
        <w:gridCol w:w="1275"/>
        <w:gridCol w:w="723"/>
        <w:gridCol w:w="553"/>
        <w:gridCol w:w="788"/>
        <w:gridCol w:w="488"/>
        <w:gridCol w:w="749"/>
        <w:gridCol w:w="385"/>
        <w:gridCol w:w="1024"/>
        <w:gridCol w:w="393"/>
        <w:gridCol w:w="1560"/>
      </w:tblGrid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DF05BE" w:rsidRPr="00DF05BE" w:rsidTr="00DF05B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BE" w:rsidRPr="00DF05BE" w:rsidTr="00DF05BE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AF" w:rsidRPr="00DF05BE" w:rsidTr="00DF05BE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59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DF05BE" w:rsidRPr="00DF05BE" w:rsidTr="00DF05BE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 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 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D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D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D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01.10.18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01.07.18,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01.01.19,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D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D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D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5BE" w:rsidRPr="00DF05BE" w:rsidTr="00DF05BE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01.10.19-01.10.18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01.10.19-01.01.19</w:t>
            </w:r>
          </w:p>
        </w:tc>
      </w:tr>
      <w:tr w:rsidR="00DF05BE" w:rsidRPr="00DF05BE" w:rsidTr="00DF05BE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Сосновоборский </w:t>
            </w:r>
            <w:proofErr w:type="spellStart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F05BE" w:rsidRPr="00DF05BE" w:rsidTr="00DF05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DF05BE" w:rsidRPr="00DF05BE" w:rsidTr="00DF05BE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DF05BE" w:rsidRPr="00DF05BE" w:rsidTr="00DF05BE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22123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19315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23767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AF" w:rsidRPr="00DF05BE" w:rsidRDefault="006B35AF" w:rsidP="006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</w:tr>
    </w:tbl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A5" w:rsidRDefault="00AF44DC" w:rsidP="00DB59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39250" cy="6381750"/>
            <wp:effectExtent l="0" t="0" r="0" b="0"/>
            <wp:docPr id="9" name="Рисунок 9" descr="C:\Users\e.korobkova\Desktop\Documents\Екатерина\АНАЛИЗ\2019\Анализ за 9 месяцев 2019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АНАЛИЗ\2019\Анализ за 9 месяцев 2019\Screenshot_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84096" w:rsidRPr="00F35072" w:rsidRDefault="00AF44D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B89D0B" wp14:editId="726D67CA">
            <wp:extent cx="9283113" cy="6191250"/>
            <wp:effectExtent l="0" t="0" r="0" b="0"/>
            <wp:docPr id="11" name="Рисунок 11" descr="C:\Users\lyd_anl\Desktop\скрин\Скриншот 04-10-2019 103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4-10-2019 10330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119" cy="619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02" w:rsidRDefault="00584202">
      <w:pPr>
        <w:spacing w:after="0" w:line="240" w:lineRule="auto"/>
      </w:pPr>
      <w:r>
        <w:separator/>
      </w:r>
    </w:p>
  </w:endnote>
  <w:endnote w:type="continuationSeparator" w:id="0">
    <w:p w:rsidR="00584202" w:rsidRDefault="0058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02" w:rsidRDefault="00584202">
      <w:pPr>
        <w:spacing w:after="0" w:line="240" w:lineRule="auto"/>
      </w:pPr>
      <w:r>
        <w:separator/>
      </w:r>
    </w:p>
  </w:footnote>
  <w:footnote w:type="continuationSeparator" w:id="0">
    <w:p w:rsidR="00584202" w:rsidRDefault="0058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AF" w:rsidRDefault="006B35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35AF" w:rsidRDefault="006B35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AF" w:rsidRDefault="006B35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661D">
      <w:rPr>
        <w:noProof/>
      </w:rPr>
      <w:t>20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AF" w:rsidRDefault="006B35AF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1FBE"/>
    <w:rsid w:val="00003670"/>
    <w:rsid w:val="00003D4A"/>
    <w:rsid w:val="0000453E"/>
    <w:rsid w:val="00004AA4"/>
    <w:rsid w:val="00007088"/>
    <w:rsid w:val="0001053C"/>
    <w:rsid w:val="00011017"/>
    <w:rsid w:val="000121B2"/>
    <w:rsid w:val="00012231"/>
    <w:rsid w:val="0001666A"/>
    <w:rsid w:val="0002033F"/>
    <w:rsid w:val="0002272C"/>
    <w:rsid w:val="00022C84"/>
    <w:rsid w:val="00024F53"/>
    <w:rsid w:val="00025178"/>
    <w:rsid w:val="0002573C"/>
    <w:rsid w:val="00025B9A"/>
    <w:rsid w:val="00027041"/>
    <w:rsid w:val="00030CB9"/>
    <w:rsid w:val="00031B68"/>
    <w:rsid w:val="00032153"/>
    <w:rsid w:val="00032FDE"/>
    <w:rsid w:val="000342D5"/>
    <w:rsid w:val="000343BC"/>
    <w:rsid w:val="00035AFA"/>
    <w:rsid w:val="00036C27"/>
    <w:rsid w:val="00037342"/>
    <w:rsid w:val="00037A73"/>
    <w:rsid w:val="00037C03"/>
    <w:rsid w:val="00037ECD"/>
    <w:rsid w:val="000403E8"/>
    <w:rsid w:val="0004047C"/>
    <w:rsid w:val="00040A9F"/>
    <w:rsid w:val="00040B9E"/>
    <w:rsid w:val="000430E8"/>
    <w:rsid w:val="00043F26"/>
    <w:rsid w:val="0004430A"/>
    <w:rsid w:val="00045C75"/>
    <w:rsid w:val="00051C36"/>
    <w:rsid w:val="00051E8C"/>
    <w:rsid w:val="00052134"/>
    <w:rsid w:val="00052555"/>
    <w:rsid w:val="00053641"/>
    <w:rsid w:val="00054795"/>
    <w:rsid w:val="00055600"/>
    <w:rsid w:val="000561BA"/>
    <w:rsid w:val="00056347"/>
    <w:rsid w:val="00057D58"/>
    <w:rsid w:val="00063496"/>
    <w:rsid w:val="00063A23"/>
    <w:rsid w:val="00064039"/>
    <w:rsid w:val="00065BB6"/>
    <w:rsid w:val="00065BFF"/>
    <w:rsid w:val="00066BFE"/>
    <w:rsid w:val="00071375"/>
    <w:rsid w:val="00072829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4096"/>
    <w:rsid w:val="000865BE"/>
    <w:rsid w:val="00090955"/>
    <w:rsid w:val="00090B48"/>
    <w:rsid w:val="00090DA2"/>
    <w:rsid w:val="00091678"/>
    <w:rsid w:val="00093455"/>
    <w:rsid w:val="00094222"/>
    <w:rsid w:val="00094635"/>
    <w:rsid w:val="000A0534"/>
    <w:rsid w:val="000A283D"/>
    <w:rsid w:val="000A4DB7"/>
    <w:rsid w:val="000A6A58"/>
    <w:rsid w:val="000B5BA2"/>
    <w:rsid w:val="000C1DA5"/>
    <w:rsid w:val="000C2F23"/>
    <w:rsid w:val="000C4B0E"/>
    <w:rsid w:val="000C6C70"/>
    <w:rsid w:val="000D2F0E"/>
    <w:rsid w:val="000D3F2A"/>
    <w:rsid w:val="000D44A2"/>
    <w:rsid w:val="000D7C9B"/>
    <w:rsid w:val="000E00F7"/>
    <w:rsid w:val="000E0438"/>
    <w:rsid w:val="000E1C8E"/>
    <w:rsid w:val="000E2660"/>
    <w:rsid w:val="000E30D7"/>
    <w:rsid w:val="000E526B"/>
    <w:rsid w:val="000E5E5F"/>
    <w:rsid w:val="000E6F2D"/>
    <w:rsid w:val="000F0129"/>
    <w:rsid w:val="000F331B"/>
    <w:rsid w:val="000F3584"/>
    <w:rsid w:val="000F4525"/>
    <w:rsid w:val="000F7464"/>
    <w:rsid w:val="001000FA"/>
    <w:rsid w:val="0010241C"/>
    <w:rsid w:val="00102C03"/>
    <w:rsid w:val="0010347F"/>
    <w:rsid w:val="001035B4"/>
    <w:rsid w:val="00113612"/>
    <w:rsid w:val="00113BD2"/>
    <w:rsid w:val="001146CD"/>
    <w:rsid w:val="00114942"/>
    <w:rsid w:val="00115516"/>
    <w:rsid w:val="001159AC"/>
    <w:rsid w:val="00115DBE"/>
    <w:rsid w:val="00115F46"/>
    <w:rsid w:val="00117D55"/>
    <w:rsid w:val="00120727"/>
    <w:rsid w:val="00120B6A"/>
    <w:rsid w:val="0012152A"/>
    <w:rsid w:val="00122715"/>
    <w:rsid w:val="00124E73"/>
    <w:rsid w:val="001255CB"/>
    <w:rsid w:val="001270C8"/>
    <w:rsid w:val="00127391"/>
    <w:rsid w:val="00133BE1"/>
    <w:rsid w:val="0013495B"/>
    <w:rsid w:val="00137FCA"/>
    <w:rsid w:val="00141B07"/>
    <w:rsid w:val="00143B20"/>
    <w:rsid w:val="001472D4"/>
    <w:rsid w:val="00150399"/>
    <w:rsid w:val="001511F6"/>
    <w:rsid w:val="001524DA"/>
    <w:rsid w:val="00152B4B"/>
    <w:rsid w:val="00153F5A"/>
    <w:rsid w:val="0016011F"/>
    <w:rsid w:val="0016034F"/>
    <w:rsid w:val="001613B3"/>
    <w:rsid w:val="00165401"/>
    <w:rsid w:val="001667D4"/>
    <w:rsid w:val="00171376"/>
    <w:rsid w:val="00171AEB"/>
    <w:rsid w:val="00173667"/>
    <w:rsid w:val="001753AF"/>
    <w:rsid w:val="0017560F"/>
    <w:rsid w:val="00176F17"/>
    <w:rsid w:val="00181F92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3DA9"/>
    <w:rsid w:val="001B1B55"/>
    <w:rsid w:val="001B1D88"/>
    <w:rsid w:val="001B4482"/>
    <w:rsid w:val="001B4AEE"/>
    <w:rsid w:val="001B4F2A"/>
    <w:rsid w:val="001C0CA9"/>
    <w:rsid w:val="001C145D"/>
    <w:rsid w:val="001C2908"/>
    <w:rsid w:val="001C2D3A"/>
    <w:rsid w:val="001C2DEC"/>
    <w:rsid w:val="001C370A"/>
    <w:rsid w:val="001C586D"/>
    <w:rsid w:val="001C6D91"/>
    <w:rsid w:val="001C7845"/>
    <w:rsid w:val="001D00FD"/>
    <w:rsid w:val="001D0E9A"/>
    <w:rsid w:val="001D1758"/>
    <w:rsid w:val="001D5771"/>
    <w:rsid w:val="001D7FD3"/>
    <w:rsid w:val="001E0E89"/>
    <w:rsid w:val="001E4025"/>
    <w:rsid w:val="001E4C72"/>
    <w:rsid w:val="001E4FBA"/>
    <w:rsid w:val="001E5294"/>
    <w:rsid w:val="001E73C1"/>
    <w:rsid w:val="001F02F7"/>
    <w:rsid w:val="001F0F3B"/>
    <w:rsid w:val="001F1D47"/>
    <w:rsid w:val="001F333A"/>
    <w:rsid w:val="001F3833"/>
    <w:rsid w:val="001F48F6"/>
    <w:rsid w:val="001F50EE"/>
    <w:rsid w:val="001F5D4E"/>
    <w:rsid w:val="001F6C76"/>
    <w:rsid w:val="001F7095"/>
    <w:rsid w:val="001F7C18"/>
    <w:rsid w:val="002038F3"/>
    <w:rsid w:val="002059C6"/>
    <w:rsid w:val="002078BA"/>
    <w:rsid w:val="0021034C"/>
    <w:rsid w:val="002111F1"/>
    <w:rsid w:val="0021164A"/>
    <w:rsid w:val="00213882"/>
    <w:rsid w:val="00213F7C"/>
    <w:rsid w:val="00214482"/>
    <w:rsid w:val="00214C45"/>
    <w:rsid w:val="00214CA5"/>
    <w:rsid w:val="00223B6F"/>
    <w:rsid w:val="00224FCD"/>
    <w:rsid w:val="00225A12"/>
    <w:rsid w:val="00227FAD"/>
    <w:rsid w:val="002317EF"/>
    <w:rsid w:val="002319D2"/>
    <w:rsid w:val="00232215"/>
    <w:rsid w:val="0023303D"/>
    <w:rsid w:val="00233348"/>
    <w:rsid w:val="00235633"/>
    <w:rsid w:val="002375A2"/>
    <w:rsid w:val="00237C41"/>
    <w:rsid w:val="00243AC7"/>
    <w:rsid w:val="002441CA"/>
    <w:rsid w:val="00245867"/>
    <w:rsid w:val="00245DE5"/>
    <w:rsid w:val="00246673"/>
    <w:rsid w:val="0024686B"/>
    <w:rsid w:val="00251246"/>
    <w:rsid w:val="002518EF"/>
    <w:rsid w:val="00254BD4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8DC"/>
    <w:rsid w:val="002705FC"/>
    <w:rsid w:val="00272DD6"/>
    <w:rsid w:val="002742A4"/>
    <w:rsid w:val="00274854"/>
    <w:rsid w:val="00280102"/>
    <w:rsid w:val="0028014F"/>
    <w:rsid w:val="00282B7D"/>
    <w:rsid w:val="0028415F"/>
    <w:rsid w:val="0028663E"/>
    <w:rsid w:val="00291FC0"/>
    <w:rsid w:val="002976AA"/>
    <w:rsid w:val="00297A97"/>
    <w:rsid w:val="002A2D69"/>
    <w:rsid w:val="002A31C3"/>
    <w:rsid w:val="002A3D30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C071A"/>
    <w:rsid w:val="002C0EAD"/>
    <w:rsid w:val="002C3608"/>
    <w:rsid w:val="002C3E0A"/>
    <w:rsid w:val="002C4D87"/>
    <w:rsid w:val="002C6A43"/>
    <w:rsid w:val="002C716B"/>
    <w:rsid w:val="002D0B88"/>
    <w:rsid w:val="002D2086"/>
    <w:rsid w:val="002D3A37"/>
    <w:rsid w:val="002D3E85"/>
    <w:rsid w:val="002D4466"/>
    <w:rsid w:val="002D4F06"/>
    <w:rsid w:val="002D684D"/>
    <w:rsid w:val="002D7514"/>
    <w:rsid w:val="002D7A0D"/>
    <w:rsid w:val="002E2231"/>
    <w:rsid w:val="002E5A08"/>
    <w:rsid w:val="002E5C94"/>
    <w:rsid w:val="002F01B7"/>
    <w:rsid w:val="002F3C1E"/>
    <w:rsid w:val="002F74CC"/>
    <w:rsid w:val="003016B0"/>
    <w:rsid w:val="00302C53"/>
    <w:rsid w:val="003100D1"/>
    <w:rsid w:val="00310D85"/>
    <w:rsid w:val="00311173"/>
    <w:rsid w:val="00312505"/>
    <w:rsid w:val="00312E54"/>
    <w:rsid w:val="00312F5D"/>
    <w:rsid w:val="00312FF1"/>
    <w:rsid w:val="00313BE0"/>
    <w:rsid w:val="003147EE"/>
    <w:rsid w:val="00314910"/>
    <w:rsid w:val="00314D58"/>
    <w:rsid w:val="00315C3D"/>
    <w:rsid w:val="00317912"/>
    <w:rsid w:val="0032082B"/>
    <w:rsid w:val="00321627"/>
    <w:rsid w:val="00326655"/>
    <w:rsid w:val="00326FA0"/>
    <w:rsid w:val="00331E39"/>
    <w:rsid w:val="00331FED"/>
    <w:rsid w:val="00332E1B"/>
    <w:rsid w:val="00334441"/>
    <w:rsid w:val="003345A9"/>
    <w:rsid w:val="003353F6"/>
    <w:rsid w:val="00336299"/>
    <w:rsid w:val="00336BEC"/>
    <w:rsid w:val="00340B7E"/>
    <w:rsid w:val="003459C1"/>
    <w:rsid w:val="003467E1"/>
    <w:rsid w:val="0034772D"/>
    <w:rsid w:val="0035238B"/>
    <w:rsid w:val="003544A8"/>
    <w:rsid w:val="00355C2F"/>
    <w:rsid w:val="00357016"/>
    <w:rsid w:val="003575EB"/>
    <w:rsid w:val="003651EB"/>
    <w:rsid w:val="00365E65"/>
    <w:rsid w:val="003677D3"/>
    <w:rsid w:val="0036784D"/>
    <w:rsid w:val="00367C4D"/>
    <w:rsid w:val="00371636"/>
    <w:rsid w:val="00371AC0"/>
    <w:rsid w:val="003722AF"/>
    <w:rsid w:val="003723A4"/>
    <w:rsid w:val="00372520"/>
    <w:rsid w:val="0037296A"/>
    <w:rsid w:val="00375EF8"/>
    <w:rsid w:val="00377A7F"/>
    <w:rsid w:val="003815B7"/>
    <w:rsid w:val="003841F3"/>
    <w:rsid w:val="00385DA6"/>
    <w:rsid w:val="003905BF"/>
    <w:rsid w:val="003909A8"/>
    <w:rsid w:val="00391666"/>
    <w:rsid w:val="0039191F"/>
    <w:rsid w:val="003926C3"/>
    <w:rsid w:val="00395703"/>
    <w:rsid w:val="00396494"/>
    <w:rsid w:val="00396AC2"/>
    <w:rsid w:val="0039732B"/>
    <w:rsid w:val="003975C4"/>
    <w:rsid w:val="003A0DA8"/>
    <w:rsid w:val="003A1FE1"/>
    <w:rsid w:val="003A4FF9"/>
    <w:rsid w:val="003A6B80"/>
    <w:rsid w:val="003A6C32"/>
    <w:rsid w:val="003A73B9"/>
    <w:rsid w:val="003B18C8"/>
    <w:rsid w:val="003B47C5"/>
    <w:rsid w:val="003B534C"/>
    <w:rsid w:val="003B605D"/>
    <w:rsid w:val="003B7E68"/>
    <w:rsid w:val="003C17A5"/>
    <w:rsid w:val="003C248D"/>
    <w:rsid w:val="003C4B40"/>
    <w:rsid w:val="003C4B52"/>
    <w:rsid w:val="003C4C8A"/>
    <w:rsid w:val="003C66AA"/>
    <w:rsid w:val="003C792C"/>
    <w:rsid w:val="003D3522"/>
    <w:rsid w:val="003D49E1"/>
    <w:rsid w:val="003D70EF"/>
    <w:rsid w:val="003E52CB"/>
    <w:rsid w:val="003E644E"/>
    <w:rsid w:val="003E69FC"/>
    <w:rsid w:val="003E6C8B"/>
    <w:rsid w:val="003F0BB0"/>
    <w:rsid w:val="003F123C"/>
    <w:rsid w:val="003F27A1"/>
    <w:rsid w:val="003F30D2"/>
    <w:rsid w:val="003F32EB"/>
    <w:rsid w:val="003F45FE"/>
    <w:rsid w:val="003F57BB"/>
    <w:rsid w:val="003F5A6D"/>
    <w:rsid w:val="003F6A6A"/>
    <w:rsid w:val="004001DF"/>
    <w:rsid w:val="004063CD"/>
    <w:rsid w:val="00406C98"/>
    <w:rsid w:val="00410492"/>
    <w:rsid w:val="00411096"/>
    <w:rsid w:val="004135D0"/>
    <w:rsid w:val="0041373B"/>
    <w:rsid w:val="00417625"/>
    <w:rsid w:val="00423310"/>
    <w:rsid w:val="00423DBF"/>
    <w:rsid w:val="00424CF5"/>
    <w:rsid w:val="0042544E"/>
    <w:rsid w:val="004261F7"/>
    <w:rsid w:val="0042704E"/>
    <w:rsid w:val="0042789C"/>
    <w:rsid w:val="0043413F"/>
    <w:rsid w:val="00435ECB"/>
    <w:rsid w:val="0044037B"/>
    <w:rsid w:val="004414D0"/>
    <w:rsid w:val="00442667"/>
    <w:rsid w:val="004435E8"/>
    <w:rsid w:val="004436F8"/>
    <w:rsid w:val="004443C4"/>
    <w:rsid w:val="00444ABE"/>
    <w:rsid w:val="00445A32"/>
    <w:rsid w:val="004479DF"/>
    <w:rsid w:val="0045089C"/>
    <w:rsid w:val="004513E7"/>
    <w:rsid w:val="0045142E"/>
    <w:rsid w:val="004515F4"/>
    <w:rsid w:val="00452CAB"/>
    <w:rsid w:val="00456A18"/>
    <w:rsid w:val="004607D3"/>
    <w:rsid w:val="00461CDC"/>
    <w:rsid w:val="0046236E"/>
    <w:rsid w:val="00462892"/>
    <w:rsid w:val="00464958"/>
    <w:rsid w:val="0046572A"/>
    <w:rsid w:val="00465962"/>
    <w:rsid w:val="00470418"/>
    <w:rsid w:val="0047115E"/>
    <w:rsid w:val="00471572"/>
    <w:rsid w:val="00472FBC"/>
    <w:rsid w:val="004736E8"/>
    <w:rsid w:val="00474C10"/>
    <w:rsid w:val="00476174"/>
    <w:rsid w:val="00477BE5"/>
    <w:rsid w:val="00480411"/>
    <w:rsid w:val="0048099E"/>
    <w:rsid w:val="00484B1C"/>
    <w:rsid w:val="00485E02"/>
    <w:rsid w:val="0048665F"/>
    <w:rsid w:val="00487366"/>
    <w:rsid w:val="004878A0"/>
    <w:rsid w:val="00490113"/>
    <w:rsid w:val="0049044E"/>
    <w:rsid w:val="004913B2"/>
    <w:rsid w:val="00491793"/>
    <w:rsid w:val="004929A3"/>
    <w:rsid w:val="00492B2E"/>
    <w:rsid w:val="004936E3"/>
    <w:rsid w:val="00493F92"/>
    <w:rsid w:val="00494C4E"/>
    <w:rsid w:val="00497918"/>
    <w:rsid w:val="004A0BE6"/>
    <w:rsid w:val="004A2A65"/>
    <w:rsid w:val="004A470C"/>
    <w:rsid w:val="004A51EC"/>
    <w:rsid w:val="004A5E9E"/>
    <w:rsid w:val="004A6F59"/>
    <w:rsid w:val="004B5C15"/>
    <w:rsid w:val="004B5D5E"/>
    <w:rsid w:val="004B6A52"/>
    <w:rsid w:val="004B7C35"/>
    <w:rsid w:val="004C20FB"/>
    <w:rsid w:val="004C2CBE"/>
    <w:rsid w:val="004C42DF"/>
    <w:rsid w:val="004C51A2"/>
    <w:rsid w:val="004C55E9"/>
    <w:rsid w:val="004C6053"/>
    <w:rsid w:val="004C67AC"/>
    <w:rsid w:val="004D0233"/>
    <w:rsid w:val="004D5660"/>
    <w:rsid w:val="004D5907"/>
    <w:rsid w:val="004D5B82"/>
    <w:rsid w:val="004D65D0"/>
    <w:rsid w:val="004D6D06"/>
    <w:rsid w:val="004D725F"/>
    <w:rsid w:val="004D7B92"/>
    <w:rsid w:val="004E0E4D"/>
    <w:rsid w:val="004E45A3"/>
    <w:rsid w:val="004E4CB8"/>
    <w:rsid w:val="004F1298"/>
    <w:rsid w:val="004F37E8"/>
    <w:rsid w:val="004F585A"/>
    <w:rsid w:val="004F5FF5"/>
    <w:rsid w:val="00500642"/>
    <w:rsid w:val="00500CA9"/>
    <w:rsid w:val="005025BB"/>
    <w:rsid w:val="0050276E"/>
    <w:rsid w:val="0050384E"/>
    <w:rsid w:val="00504273"/>
    <w:rsid w:val="005047F4"/>
    <w:rsid w:val="00505CB1"/>
    <w:rsid w:val="00506786"/>
    <w:rsid w:val="00506B57"/>
    <w:rsid w:val="005077E0"/>
    <w:rsid w:val="005111CC"/>
    <w:rsid w:val="00512056"/>
    <w:rsid w:val="0051450F"/>
    <w:rsid w:val="00514C2F"/>
    <w:rsid w:val="00517B25"/>
    <w:rsid w:val="00520F2F"/>
    <w:rsid w:val="00521F21"/>
    <w:rsid w:val="00523263"/>
    <w:rsid w:val="005236B6"/>
    <w:rsid w:val="0052772E"/>
    <w:rsid w:val="005308A1"/>
    <w:rsid w:val="00531177"/>
    <w:rsid w:val="005318E4"/>
    <w:rsid w:val="00532A6D"/>
    <w:rsid w:val="0053461D"/>
    <w:rsid w:val="00534847"/>
    <w:rsid w:val="00536B3F"/>
    <w:rsid w:val="005371D9"/>
    <w:rsid w:val="00543C11"/>
    <w:rsid w:val="00545D51"/>
    <w:rsid w:val="00546C0C"/>
    <w:rsid w:val="00547584"/>
    <w:rsid w:val="0055041E"/>
    <w:rsid w:val="00551E00"/>
    <w:rsid w:val="00551FD8"/>
    <w:rsid w:val="00552EB2"/>
    <w:rsid w:val="00553F5C"/>
    <w:rsid w:val="00554135"/>
    <w:rsid w:val="0055454E"/>
    <w:rsid w:val="005561CF"/>
    <w:rsid w:val="00556920"/>
    <w:rsid w:val="00561B99"/>
    <w:rsid w:val="0056272E"/>
    <w:rsid w:val="00562D4D"/>
    <w:rsid w:val="00564D1E"/>
    <w:rsid w:val="005654B7"/>
    <w:rsid w:val="005656F7"/>
    <w:rsid w:val="00570D92"/>
    <w:rsid w:val="00572223"/>
    <w:rsid w:val="00572EB4"/>
    <w:rsid w:val="005738A3"/>
    <w:rsid w:val="005745E9"/>
    <w:rsid w:val="00575E0E"/>
    <w:rsid w:val="005771CD"/>
    <w:rsid w:val="00577502"/>
    <w:rsid w:val="0057787C"/>
    <w:rsid w:val="005802DE"/>
    <w:rsid w:val="00581BBC"/>
    <w:rsid w:val="00582E0C"/>
    <w:rsid w:val="00583394"/>
    <w:rsid w:val="005841EC"/>
    <w:rsid w:val="00584202"/>
    <w:rsid w:val="005849FC"/>
    <w:rsid w:val="00585257"/>
    <w:rsid w:val="00586A30"/>
    <w:rsid w:val="005872DE"/>
    <w:rsid w:val="0058736C"/>
    <w:rsid w:val="005903F3"/>
    <w:rsid w:val="005961CD"/>
    <w:rsid w:val="00597E26"/>
    <w:rsid w:val="005A17B2"/>
    <w:rsid w:val="005A5E3F"/>
    <w:rsid w:val="005A6220"/>
    <w:rsid w:val="005B062F"/>
    <w:rsid w:val="005B390E"/>
    <w:rsid w:val="005B404A"/>
    <w:rsid w:val="005B4C0B"/>
    <w:rsid w:val="005B4D21"/>
    <w:rsid w:val="005B5FA3"/>
    <w:rsid w:val="005B7069"/>
    <w:rsid w:val="005C06B9"/>
    <w:rsid w:val="005C352F"/>
    <w:rsid w:val="005C454B"/>
    <w:rsid w:val="005C6972"/>
    <w:rsid w:val="005C6C54"/>
    <w:rsid w:val="005D11F1"/>
    <w:rsid w:val="005D1A58"/>
    <w:rsid w:val="005D2463"/>
    <w:rsid w:val="005D5DCA"/>
    <w:rsid w:val="005D5E4C"/>
    <w:rsid w:val="005D602A"/>
    <w:rsid w:val="005D6B35"/>
    <w:rsid w:val="005D6BBB"/>
    <w:rsid w:val="005E1C36"/>
    <w:rsid w:val="005E2BBC"/>
    <w:rsid w:val="005E57C5"/>
    <w:rsid w:val="005E6531"/>
    <w:rsid w:val="005F023C"/>
    <w:rsid w:val="005F113A"/>
    <w:rsid w:val="005F27C7"/>
    <w:rsid w:val="005F482E"/>
    <w:rsid w:val="005F56CF"/>
    <w:rsid w:val="0060091F"/>
    <w:rsid w:val="00602779"/>
    <w:rsid w:val="00604C58"/>
    <w:rsid w:val="00604E70"/>
    <w:rsid w:val="00605080"/>
    <w:rsid w:val="00607159"/>
    <w:rsid w:val="00611EC3"/>
    <w:rsid w:val="00613098"/>
    <w:rsid w:val="00613FDA"/>
    <w:rsid w:val="006143B8"/>
    <w:rsid w:val="00615441"/>
    <w:rsid w:val="0061724E"/>
    <w:rsid w:val="00621B37"/>
    <w:rsid w:val="006230B9"/>
    <w:rsid w:val="00623369"/>
    <w:rsid w:val="00626DF3"/>
    <w:rsid w:val="00627A28"/>
    <w:rsid w:val="00630DC6"/>
    <w:rsid w:val="0063157A"/>
    <w:rsid w:val="006327BC"/>
    <w:rsid w:val="006347AD"/>
    <w:rsid w:val="00640653"/>
    <w:rsid w:val="00640A43"/>
    <w:rsid w:val="00641FEE"/>
    <w:rsid w:val="00642BE1"/>
    <w:rsid w:val="006434E0"/>
    <w:rsid w:val="006442B8"/>
    <w:rsid w:val="00644E02"/>
    <w:rsid w:val="00645E49"/>
    <w:rsid w:val="00651029"/>
    <w:rsid w:val="00651938"/>
    <w:rsid w:val="00653B91"/>
    <w:rsid w:val="00656B30"/>
    <w:rsid w:val="00657320"/>
    <w:rsid w:val="00660560"/>
    <w:rsid w:val="00660D32"/>
    <w:rsid w:val="0066151F"/>
    <w:rsid w:val="006642C0"/>
    <w:rsid w:val="00664449"/>
    <w:rsid w:val="00665568"/>
    <w:rsid w:val="0066644A"/>
    <w:rsid w:val="006668D9"/>
    <w:rsid w:val="0067143B"/>
    <w:rsid w:val="00675B04"/>
    <w:rsid w:val="006818A5"/>
    <w:rsid w:val="00681C23"/>
    <w:rsid w:val="00682EF5"/>
    <w:rsid w:val="006862B6"/>
    <w:rsid w:val="00686FF3"/>
    <w:rsid w:val="00687AF0"/>
    <w:rsid w:val="006905E4"/>
    <w:rsid w:val="00694123"/>
    <w:rsid w:val="00695E6B"/>
    <w:rsid w:val="006977D7"/>
    <w:rsid w:val="006A0D4B"/>
    <w:rsid w:val="006A2761"/>
    <w:rsid w:val="006A598B"/>
    <w:rsid w:val="006A5D82"/>
    <w:rsid w:val="006A795A"/>
    <w:rsid w:val="006B042D"/>
    <w:rsid w:val="006B0CCE"/>
    <w:rsid w:val="006B0F5A"/>
    <w:rsid w:val="006B13F9"/>
    <w:rsid w:val="006B2F25"/>
    <w:rsid w:val="006B35AF"/>
    <w:rsid w:val="006B3809"/>
    <w:rsid w:val="006B3FF8"/>
    <w:rsid w:val="006B4EB5"/>
    <w:rsid w:val="006C0875"/>
    <w:rsid w:val="006C15E3"/>
    <w:rsid w:val="006C2570"/>
    <w:rsid w:val="006C47FE"/>
    <w:rsid w:val="006C575A"/>
    <w:rsid w:val="006C6925"/>
    <w:rsid w:val="006C72C6"/>
    <w:rsid w:val="006D0C2D"/>
    <w:rsid w:val="006D2BAF"/>
    <w:rsid w:val="006D36E0"/>
    <w:rsid w:val="006D4318"/>
    <w:rsid w:val="006D4E90"/>
    <w:rsid w:val="006D661D"/>
    <w:rsid w:val="006D7066"/>
    <w:rsid w:val="006E1008"/>
    <w:rsid w:val="006E1332"/>
    <w:rsid w:val="006E3551"/>
    <w:rsid w:val="006E63AC"/>
    <w:rsid w:val="006E68D4"/>
    <w:rsid w:val="006E75D2"/>
    <w:rsid w:val="006F005A"/>
    <w:rsid w:val="006F0A40"/>
    <w:rsid w:val="006F125B"/>
    <w:rsid w:val="006F5DF9"/>
    <w:rsid w:val="00701F95"/>
    <w:rsid w:val="00702048"/>
    <w:rsid w:val="00703FC5"/>
    <w:rsid w:val="00706510"/>
    <w:rsid w:val="0070659A"/>
    <w:rsid w:val="00707F56"/>
    <w:rsid w:val="00710080"/>
    <w:rsid w:val="007102B2"/>
    <w:rsid w:val="00712096"/>
    <w:rsid w:val="00712E30"/>
    <w:rsid w:val="00714C1A"/>
    <w:rsid w:val="00714DC9"/>
    <w:rsid w:val="00720FBD"/>
    <w:rsid w:val="00722A49"/>
    <w:rsid w:val="00722F0A"/>
    <w:rsid w:val="00723194"/>
    <w:rsid w:val="00723F84"/>
    <w:rsid w:val="00724BB0"/>
    <w:rsid w:val="00725612"/>
    <w:rsid w:val="00725D2C"/>
    <w:rsid w:val="00725FC6"/>
    <w:rsid w:val="00727122"/>
    <w:rsid w:val="007275A1"/>
    <w:rsid w:val="007312B2"/>
    <w:rsid w:val="007313AA"/>
    <w:rsid w:val="0073280D"/>
    <w:rsid w:val="00732EB2"/>
    <w:rsid w:val="00733A52"/>
    <w:rsid w:val="00733F09"/>
    <w:rsid w:val="00735B52"/>
    <w:rsid w:val="0073651C"/>
    <w:rsid w:val="007375F7"/>
    <w:rsid w:val="007418AA"/>
    <w:rsid w:val="00743433"/>
    <w:rsid w:val="0075091F"/>
    <w:rsid w:val="007536C3"/>
    <w:rsid w:val="00755342"/>
    <w:rsid w:val="00756E81"/>
    <w:rsid w:val="00760D49"/>
    <w:rsid w:val="007628B0"/>
    <w:rsid w:val="00764606"/>
    <w:rsid w:val="007671C9"/>
    <w:rsid w:val="00767B56"/>
    <w:rsid w:val="00771181"/>
    <w:rsid w:val="00771271"/>
    <w:rsid w:val="007715E5"/>
    <w:rsid w:val="007720B7"/>
    <w:rsid w:val="0077236C"/>
    <w:rsid w:val="00772B6C"/>
    <w:rsid w:val="0077446F"/>
    <w:rsid w:val="00774663"/>
    <w:rsid w:val="00777CC0"/>
    <w:rsid w:val="00781F4A"/>
    <w:rsid w:val="0078327A"/>
    <w:rsid w:val="0078371E"/>
    <w:rsid w:val="00787D0C"/>
    <w:rsid w:val="0079038E"/>
    <w:rsid w:val="00791626"/>
    <w:rsid w:val="0079264B"/>
    <w:rsid w:val="007926A9"/>
    <w:rsid w:val="0079347A"/>
    <w:rsid w:val="00796B89"/>
    <w:rsid w:val="007972E1"/>
    <w:rsid w:val="007A660E"/>
    <w:rsid w:val="007A6AB8"/>
    <w:rsid w:val="007A769C"/>
    <w:rsid w:val="007A77F8"/>
    <w:rsid w:val="007A7CB8"/>
    <w:rsid w:val="007B0195"/>
    <w:rsid w:val="007B1845"/>
    <w:rsid w:val="007B21C4"/>
    <w:rsid w:val="007B3A71"/>
    <w:rsid w:val="007B3BBF"/>
    <w:rsid w:val="007B535F"/>
    <w:rsid w:val="007B5625"/>
    <w:rsid w:val="007B5C41"/>
    <w:rsid w:val="007C062A"/>
    <w:rsid w:val="007C2530"/>
    <w:rsid w:val="007C477D"/>
    <w:rsid w:val="007C5643"/>
    <w:rsid w:val="007C60F8"/>
    <w:rsid w:val="007C76B3"/>
    <w:rsid w:val="007C7B77"/>
    <w:rsid w:val="007D167E"/>
    <w:rsid w:val="007D1961"/>
    <w:rsid w:val="007D1D14"/>
    <w:rsid w:val="007D2AC8"/>
    <w:rsid w:val="007D603F"/>
    <w:rsid w:val="007D6A4F"/>
    <w:rsid w:val="007D73AE"/>
    <w:rsid w:val="007D78A7"/>
    <w:rsid w:val="007E1D70"/>
    <w:rsid w:val="007E231E"/>
    <w:rsid w:val="007E32C4"/>
    <w:rsid w:val="007E4F55"/>
    <w:rsid w:val="007E6E96"/>
    <w:rsid w:val="007E706A"/>
    <w:rsid w:val="007F0A1E"/>
    <w:rsid w:val="007F421A"/>
    <w:rsid w:val="007F4EB6"/>
    <w:rsid w:val="007F4F59"/>
    <w:rsid w:val="007F6B41"/>
    <w:rsid w:val="007F7F44"/>
    <w:rsid w:val="00801484"/>
    <w:rsid w:val="00801F84"/>
    <w:rsid w:val="008041E7"/>
    <w:rsid w:val="008078E8"/>
    <w:rsid w:val="00811AE2"/>
    <w:rsid w:val="00811E3E"/>
    <w:rsid w:val="008177B5"/>
    <w:rsid w:val="00822EAC"/>
    <w:rsid w:val="008254FC"/>
    <w:rsid w:val="00825F32"/>
    <w:rsid w:val="008335E6"/>
    <w:rsid w:val="00835164"/>
    <w:rsid w:val="008400C3"/>
    <w:rsid w:val="008407AE"/>
    <w:rsid w:val="00840E8A"/>
    <w:rsid w:val="00842603"/>
    <w:rsid w:val="008435FD"/>
    <w:rsid w:val="00844224"/>
    <w:rsid w:val="00851227"/>
    <w:rsid w:val="00855CE1"/>
    <w:rsid w:val="00861A9D"/>
    <w:rsid w:val="00862C93"/>
    <w:rsid w:val="00863351"/>
    <w:rsid w:val="0086431D"/>
    <w:rsid w:val="008704A2"/>
    <w:rsid w:val="00870888"/>
    <w:rsid w:val="0087106E"/>
    <w:rsid w:val="00874A0E"/>
    <w:rsid w:val="00874A99"/>
    <w:rsid w:val="0087531A"/>
    <w:rsid w:val="008754DB"/>
    <w:rsid w:val="008756CC"/>
    <w:rsid w:val="00876163"/>
    <w:rsid w:val="00876E92"/>
    <w:rsid w:val="00877FCD"/>
    <w:rsid w:val="0088040B"/>
    <w:rsid w:val="00880490"/>
    <w:rsid w:val="008827EF"/>
    <w:rsid w:val="00883543"/>
    <w:rsid w:val="00883F1E"/>
    <w:rsid w:val="0088429A"/>
    <w:rsid w:val="00884DA7"/>
    <w:rsid w:val="00885DC9"/>
    <w:rsid w:val="0089233B"/>
    <w:rsid w:val="00892B84"/>
    <w:rsid w:val="00893D24"/>
    <w:rsid w:val="0089400E"/>
    <w:rsid w:val="00894FBD"/>
    <w:rsid w:val="008A10E2"/>
    <w:rsid w:val="008A14DE"/>
    <w:rsid w:val="008A1947"/>
    <w:rsid w:val="008A2786"/>
    <w:rsid w:val="008A44FD"/>
    <w:rsid w:val="008A6366"/>
    <w:rsid w:val="008A7776"/>
    <w:rsid w:val="008A79D5"/>
    <w:rsid w:val="008B1C64"/>
    <w:rsid w:val="008B3711"/>
    <w:rsid w:val="008B51ED"/>
    <w:rsid w:val="008B5877"/>
    <w:rsid w:val="008B5CE3"/>
    <w:rsid w:val="008B72E4"/>
    <w:rsid w:val="008B7F4A"/>
    <w:rsid w:val="008C09A7"/>
    <w:rsid w:val="008C2EC4"/>
    <w:rsid w:val="008C5111"/>
    <w:rsid w:val="008C5372"/>
    <w:rsid w:val="008C5E8B"/>
    <w:rsid w:val="008C6C36"/>
    <w:rsid w:val="008C6F89"/>
    <w:rsid w:val="008D571B"/>
    <w:rsid w:val="008D7621"/>
    <w:rsid w:val="008D7902"/>
    <w:rsid w:val="008E2FD8"/>
    <w:rsid w:val="008E4B7E"/>
    <w:rsid w:val="008E69C7"/>
    <w:rsid w:val="008E6EBD"/>
    <w:rsid w:val="008F1C3F"/>
    <w:rsid w:val="008F29A9"/>
    <w:rsid w:val="008F314B"/>
    <w:rsid w:val="008F31CC"/>
    <w:rsid w:val="009013D7"/>
    <w:rsid w:val="00901C62"/>
    <w:rsid w:val="009028A5"/>
    <w:rsid w:val="00904158"/>
    <w:rsid w:val="009046C9"/>
    <w:rsid w:val="00904F1C"/>
    <w:rsid w:val="00905127"/>
    <w:rsid w:val="009062AF"/>
    <w:rsid w:val="00906D3D"/>
    <w:rsid w:val="00910513"/>
    <w:rsid w:val="00910704"/>
    <w:rsid w:val="00910DF6"/>
    <w:rsid w:val="00911713"/>
    <w:rsid w:val="00911C54"/>
    <w:rsid w:val="009161C0"/>
    <w:rsid w:val="00917BB6"/>
    <w:rsid w:val="009207AD"/>
    <w:rsid w:val="0092271E"/>
    <w:rsid w:val="00923476"/>
    <w:rsid w:val="00924931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1A5"/>
    <w:rsid w:val="009334B3"/>
    <w:rsid w:val="009360C5"/>
    <w:rsid w:val="00936F05"/>
    <w:rsid w:val="00936FF1"/>
    <w:rsid w:val="0094359B"/>
    <w:rsid w:val="00946F3D"/>
    <w:rsid w:val="0095148A"/>
    <w:rsid w:val="009519FF"/>
    <w:rsid w:val="0095275E"/>
    <w:rsid w:val="00956D5B"/>
    <w:rsid w:val="009571DA"/>
    <w:rsid w:val="00957E56"/>
    <w:rsid w:val="00963C7E"/>
    <w:rsid w:val="00964177"/>
    <w:rsid w:val="00965D97"/>
    <w:rsid w:val="00966A93"/>
    <w:rsid w:val="00967106"/>
    <w:rsid w:val="009702BA"/>
    <w:rsid w:val="00970886"/>
    <w:rsid w:val="00971060"/>
    <w:rsid w:val="009711B2"/>
    <w:rsid w:val="00971E6D"/>
    <w:rsid w:val="00972835"/>
    <w:rsid w:val="00972F13"/>
    <w:rsid w:val="0097648B"/>
    <w:rsid w:val="00977B12"/>
    <w:rsid w:val="00981717"/>
    <w:rsid w:val="009823FB"/>
    <w:rsid w:val="00982453"/>
    <w:rsid w:val="00982B2D"/>
    <w:rsid w:val="00985E40"/>
    <w:rsid w:val="00985EA6"/>
    <w:rsid w:val="0098692E"/>
    <w:rsid w:val="009920D6"/>
    <w:rsid w:val="0099356F"/>
    <w:rsid w:val="00993ADB"/>
    <w:rsid w:val="00994B41"/>
    <w:rsid w:val="009A0125"/>
    <w:rsid w:val="009A1791"/>
    <w:rsid w:val="009A1D46"/>
    <w:rsid w:val="009A32F4"/>
    <w:rsid w:val="009A5159"/>
    <w:rsid w:val="009A550B"/>
    <w:rsid w:val="009A5A62"/>
    <w:rsid w:val="009A5A96"/>
    <w:rsid w:val="009B0CC7"/>
    <w:rsid w:val="009B133E"/>
    <w:rsid w:val="009B33BE"/>
    <w:rsid w:val="009B488D"/>
    <w:rsid w:val="009B4B07"/>
    <w:rsid w:val="009B5A65"/>
    <w:rsid w:val="009B5BA7"/>
    <w:rsid w:val="009B5F25"/>
    <w:rsid w:val="009B686E"/>
    <w:rsid w:val="009B6D4C"/>
    <w:rsid w:val="009C25B0"/>
    <w:rsid w:val="009C30F8"/>
    <w:rsid w:val="009C3129"/>
    <w:rsid w:val="009C514F"/>
    <w:rsid w:val="009C537D"/>
    <w:rsid w:val="009C6A8C"/>
    <w:rsid w:val="009D0A8F"/>
    <w:rsid w:val="009D2C38"/>
    <w:rsid w:val="009D3699"/>
    <w:rsid w:val="009D4B68"/>
    <w:rsid w:val="009D5AC5"/>
    <w:rsid w:val="009E27A8"/>
    <w:rsid w:val="009E2D35"/>
    <w:rsid w:val="009E2F90"/>
    <w:rsid w:val="009E3BAA"/>
    <w:rsid w:val="009E534A"/>
    <w:rsid w:val="009E5D22"/>
    <w:rsid w:val="009E5F88"/>
    <w:rsid w:val="009E725E"/>
    <w:rsid w:val="009E752B"/>
    <w:rsid w:val="009F0628"/>
    <w:rsid w:val="009F1018"/>
    <w:rsid w:val="009F1979"/>
    <w:rsid w:val="009F2781"/>
    <w:rsid w:val="009F3310"/>
    <w:rsid w:val="009F473C"/>
    <w:rsid w:val="00A01719"/>
    <w:rsid w:val="00A01CD3"/>
    <w:rsid w:val="00A032D4"/>
    <w:rsid w:val="00A070DC"/>
    <w:rsid w:val="00A1047E"/>
    <w:rsid w:val="00A159B5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1BCE"/>
    <w:rsid w:val="00A32FAA"/>
    <w:rsid w:val="00A33A5A"/>
    <w:rsid w:val="00A33F44"/>
    <w:rsid w:val="00A41C31"/>
    <w:rsid w:val="00A42412"/>
    <w:rsid w:val="00A42975"/>
    <w:rsid w:val="00A43A5B"/>
    <w:rsid w:val="00A440F8"/>
    <w:rsid w:val="00A44B4F"/>
    <w:rsid w:val="00A44FCF"/>
    <w:rsid w:val="00A45413"/>
    <w:rsid w:val="00A45EC3"/>
    <w:rsid w:val="00A47BC4"/>
    <w:rsid w:val="00A47C76"/>
    <w:rsid w:val="00A5202B"/>
    <w:rsid w:val="00A528DC"/>
    <w:rsid w:val="00A5623A"/>
    <w:rsid w:val="00A565FD"/>
    <w:rsid w:val="00A650B0"/>
    <w:rsid w:val="00A650DB"/>
    <w:rsid w:val="00A662ED"/>
    <w:rsid w:val="00A67216"/>
    <w:rsid w:val="00A67458"/>
    <w:rsid w:val="00A6749B"/>
    <w:rsid w:val="00A67F99"/>
    <w:rsid w:val="00A72FD7"/>
    <w:rsid w:val="00A741B5"/>
    <w:rsid w:val="00A75BC6"/>
    <w:rsid w:val="00A75E3B"/>
    <w:rsid w:val="00A77F0D"/>
    <w:rsid w:val="00A8027E"/>
    <w:rsid w:val="00A80425"/>
    <w:rsid w:val="00A81E58"/>
    <w:rsid w:val="00A83BE9"/>
    <w:rsid w:val="00A83CC8"/>
    <w:rsid w:val="00A844CA"/>
    <w:rsid w:val="00A84743"/>
    <w:rsid w:val="00A870EB"/>
    <w:rsid w:val="00A879CB"/>
    <w:rsid w:val="00A91062"/>
    <w:rsid w:val="00A92041"/>
    <w:rsid w:val="00A93AB3"/>
    <w:rsid w:val="00A95A84"/>
    <w:rsid w:val="00A95D40"/>
    <w:rsid w:val="00AA3AFC"/>
    <w:rsid w:val="00AA51C0"/>
    <w:rsid w:val="00AA574D"/>
    <w:rsid w:val="00AA57DA"/>
    <w:rsid w:val="00AA5D0E"/>
    <w:rsid w:val="00AA7E94"/>
    <w:rsid w:val="00AB0808"/>
    <w:rsid w:val="00AB0AE2"/>
    <w:rsid w:val="00AB310B"/>
    <w:rsid w:val="00AB3787"/>
    <w:rsid w:val="00AB4A3D"/>
    <w:rsid w:val="00AC1FDF"/>
    <w:rsid w:val="00AC2BB0"/>
    <w:rsid w:val="00AC498F"/>
    <w:rsid w:val="00AC5464"/>
    <w:rsid w:val="00AC68AA"/>
    <w:rsid w:val="00AC7114"/>
    <w:rsid w:val="00AD1194"/>
    <w:rsid w:val="00AD4ADB"/>
    <w:rsid w:val="00AD56D5"/>
    <w:rsid w:val="00AD577A"/>
    <w:rsid w:val="00AD6BEF"/>
    <w:rsid w:val="00AD7FB3"/>
    <w:rsid w:val="00AE1C18"/>
    <w:rsid w:val="00AE1F97"/>
    <w:rsid w:val="00AE3D04"/>
    <w:rsid w:val="00AE7FEE"/>
    <w:rsid w:val="00AF028F"/>
    <w:rsid w:val="00AF3075"/>
    <w:rsid w:val="00AF44DC"/>
    <w:rsid w:val="00AF4B2C"/>
    <w:rsid w:val="00AF5C52"/>
    <w:rsid w:val="00AF6705"/>
    <w:rsid w:val="00AF6E70"/>
    <w:rsid w:val="00AF6EA0"/>
    <w:rsid w:val="00AF7F71"/>
    <w:rsid w:val="00B0547A"/>
    <w:rsid w:val="00B06247"/>
    <w:rsid w:val="00B06341"/>
    <w:rsid w:val="00B069E0"/>
    <w:rsid w:val="00B06E11"/>
    <w:rsid w:val="00B0701A"/>
    <w:rsid w:val="00B16A8E"/>
    <w:rsid w:val="00B16BBD"/>
    <w:rsid w:val="00B172B2"/>
    <w:rsid w:val="00B2062F"/>
    <w:rsid w:val="00B2147D"/>
    <w:rsid w:val="00B21B03"/>
    <w:rsid w:val="00B3061A"/>
    <w:rsid w:val="00B307A1"/>
    <w:rsid w:val="00B309BE"/>
    <w:rsid w:val="00B333C3"/>
    <w:rsid w:val="00B3498C"/>
    <w:rsid w:val="00B34E42"/>
    <w:rsid w:val="00B35447"/>
    <w:rsid w:val="00B35452"/>
    <w:rsid w:val="00B35EF1"/>
    <w:rsid w:val="00B428C0"/>
    <w:rsid w:val="00B42F65"/>
    <w:rsid w:val="00B45231"/>
    <w:rsid w:val="00B47947"/>
    <w:rsid w:val="00B50093"/>
    <w:rsid w:val="00B51ED8"/>
    <w:rsid w:val="00B528D0"/>
    <w:rsid w:val="00B52B8F"/>
    <w:rsid w:val="00B5306F"/>
    <w:rsid w:val="00B53498"/>
    <w:rsid w:val="00B5489F"/>
    <w:rsid w:val="00B56519"/>
    <w:rsid w:val="00B573B5"/>
    <w:rsid w:val="00B578F5"/>
    <w:rsid w:val="00B57B59"/>
    <w:rsid w:val="00B6050D"/>
    <w:rsid w:val="00B634B5"/>
    <w:rsid w:val="00B63C18"/>
    <w:rsid w:val="00B642CA"/>
    <w:rsid w:val="00B64F43"/>
    <w:rsid w:val="00B66235"/>
    <w:rsid w:val="00B66BF9"/>
    <w:rsid w:val="00B66DFA"/>
    <w:rsid w:val="00B6767C"/>
    <w:rsid w:val="00B72DA1"/>
    <w:rsid w:val="00B7440E"/>
    <w:rsid w:val="00B759CC"/>
    <w:rsid w:val="00B77F7B"/>
    <w:rsid w:val="00B804B5"/>
    <w:rsid w:val="00B80984"/>
    <w:rsid w:val="00B80CC0"/>
    <w:rsid w:val="00B82B71"/>
    <w:rsid w:val="00B84F8B"/>
    <w:rsid w:val="00B851EE"/>
    <w:rsid w:val="00B8527F"/>
    <w:rsid w:val="00B878D2"/>
    <w:rsid w:val="00B913F5"/>
    <w:rsid w:val="00B91B40"/>
    <w:rsid w:val="00B9439D"/>
    <w:rsid w:val="00B94A78"/>
    <w:rsid w:val="00B95032"/>
    <w:rsid w:val="00B9555A"/>
    <w:rsid w:val="00B95914"/>
    <w:rsid w:val="00BA1DDD"/>
    <w:rsid w:val="00BA318C"/>
    <w:rsid w:val="00BA7724"/>
    <w:rsid w:val="00BA7815"/>
    <w:rsid w:val="00BB3391"/>
    <w:rsid w:val="00BB5B87"/>
    <w:rsid w:val="00BB7ED6"/>
    <w:rsid w:val="00BC0250"/>
    <w:rsid w:val="00BC15AC"/>
    <w:rsid w:val="00BC1E53"/>
    <w:rsid w:val="00BC2821"/>
    <w:rsid w:val="00BC4D33"/>
    <w:rsid w:val="00BC5C2F"/>
    <w:rsid w:val="00BD186D"/>
    <w:rsid w:val="00BD3832"/>
    <w:rsid w:val="00BD3FC7"/>
    <w:rsid w:val="00BD4652"/>
    <w:rsid w:val="00BD51F2"/>
    <w:rsid w:val="00BD5362"/>
    <w:rsid w:val="00BD5A40"/>
    <w:rsid w:val="00BD6502"/>
    <w:rsid w:val="00BD716F"/>
    <w:rsid w:val="00BD7586"/>
    <w:rsid w:val="00BE4D8F"/>
    <w:rsid w:val="00BE5934"/>
    <w:rsid w:val="00BE60D6"/>
    <w:rsid w:val="00BF59C6"/>
    <w:rsid w:val="00BF5A10"/>
    <w:rsid w:val="00BF6D6A"/>
    <w:rsid w:val="00C03521"/>
    <w:rsid w:val="00C03531"/>
    <w:rsid w:val="00C03D05"/>
    <w:rsid w:val="00C050B2"/>
    <w:rsid w:val="00C050D3"/>
    <w:rsid w:val="00C05A09"/>
    <w:rsid w:val="00C066BE"/>
    <w:rsid w:val="00C079C6"/>
    <w:rsid w:val="00C07E9A"/>
    <w:rsid w:val="00C104D0"/>
    <w:rsid w:val="00C1107E"/>
    <w:rsid w:val="00C118D2"/>
    <w:rsid w:val="00C13904"/>
    <w:rsid w:val="00C151CC"/>
    <w:rsid w:val="00C162F7"/>
    <w:rsid w:val="00C16620"/>
    <w:rsid w:val="00C17CFF"/>
    <w:rsid w:val="00C20AC8"/>
    <w:rsid w:val="00C20C04"/>
    <w:rsid w:val="00C268B8"/>
    <w:rsid w:val="00C278C6"/>
    <w:rsid w:val="00C279F5"/>
    <w:rsid w:val="00C30429"/>
    <w:rsid w:val="00C3151F"/>
    <w:rsid w:val="00C32C00"/>
    <w:rsid w:val="00C33B21"/>
    <w:rsid w:val="00C34B67"/>
    <w:rsid w:val="00C35ED6"/>
    <w:rsid w:val="00C40A20"/>
    <w:rsid w:val="00C41007"/>
    <w:rsid w:val="00C44DB2"/>
    <w:rsid w:val="00C45293"/>
    <w:rsid w:val="00C461B5"/>
    <w:rsid w:val="00C46C5E"/>
    <w:rsid w:val="00C50731"/>
    <w:rsid w:val="00C51107"/>
    <w:rsid w:val="00C51437"/>
    <w:rsid w:val="00C526CA"/>
    <w:rsid w:val="00C55599"/>
    <w:rsid w:val="00C56F1A"/>
    <w:rsid w:val="00C57161"/>
    <w:rsid w:val="00C57C2B"/>
    <w:rsid w:val="00C619D7"/>
    <w:rsid w:val="00C65E9F"/>
    <w:rsid w:val="00C705F1"/>
    <w:rsid w:val="00C70CE3"/>
    <w:rsid w:val="00C718C8"/>
    <w:rsid w:val="00C71F75"/>
    <w:rsid w:val="00C7615F"/>
    <w:rsid w:val="00C76BE1"/>
    <w:rsid w:val="00C77A53"/>
    <w:rsid w:val="00C8024E"/>
    <w:rsid w:val="00C80AC7"/>
    <w:rsid w:val="00C842BE"/>
    <w:rsid w:val="00C86AF3"/>
    <w:rsid w:val="00C90F36"/>
    <w:rsid w:val="00C91E96"/>
    <w:rsid w:val="00C95E38"/>
    <w:rsid w:val="00C97637"/>
    <w:rsid w:val="00CA2129"/>
    <w:rsid w:val="00CA3069"/>
    <w:rsid w:val="00CA6C2B"/>
    <w:rsid w:val="00CA7DA0"/>
    <w:rsid w:val="00CB17C8"/>
    <w:rsid w:val="00CB311E"/>
    <w:rsid w:val="00CB3B04"/>
    <w:rsid w:val="00CB4E6C"/>
    <w:rsid w:val="00CB56A1"/>
    <w:rsid w:val="00CC00B4"/>
    <w:rsid w:val="00CC0503"/>
    <w:rsid w:val="00CC0A38"/>
    <w:rsid w:val="00CC759D"/>
    <w:rsid w:val="00CD04D2"/>
    <w:rsid w:val="00CD0839"/>
    <w:rsid w:val="00CD13FB"/>
    <w:rsid w:val="00CD15EC"/>
    <w:rsid w:val="00CD62E7"/>
    <w:rsid w:val="00CD658D"/>
    <w:rsid w:val="00CD7E8F"/>
    <w:rsid w:val="00CE27CA"/>
    <w:rsid w:val="00CE5401"/>
    <w:rsid w:val="00CF0EA3"/>
    <w:rsid w:val="00CF2959"/>
    <w:rsid w:val="00CF3BB4"/>
    <w:rsid w:val="00CF3C0E"/>
    <w:rsid w:val="00CF4276"/>
    <w:rsid w:val="00CF44E1"/>
    <w:rsid w:val="00CF4D64"/>
    <w:rsid w:val="00CF57FE"/>
    <w:rsid w:val="00CF64FA"/>
    <w:rsid w:val="00CF6728"/>
    <w:rsid w:val="00D06FA3"/>
    <w:rsid w:val="00D07400"/>
    <w:rsid w:val="00D113AE"/>
    <w:rsid w:val="00D11944"/>
    <w:rsid w:val="00D13A1B"/>
    <w:rsid w:val="00D17137"/>
    <w:rsid w:val="00D205ED"/>
    <w:rsid w:val="00D2395E"/>
    <w:rsid w:val="00D23EE2"/>
    <w:rsid w:val="00D2596A"/>
    <w:rsid w:val="00D26C9A"/>
    <w:rsid w:val="00D30CF2"/>
    <w:rsid w:val="00D3494D"/>
    <w:rsid w:val="00D34DC9"/>
    <w:rsid w:val="00D35656"/>
    <w:rsid w:val="00D3595B"/>
    <w:rsid w:val="00D35B6D"/>
    <w:rsid w:val="00D362C1"/>
    <w:rsid w:val="00D379FF"/>
    <w:rsid w:val="00D37CC4"/>
    <w:rsid w:val="00D406E4"/>
    <w:rsid w:val="00D425C2"/>
    <w:rsid w:val="00D426C0"/>
    <w:rsid w:val="00D43019"/>
    <w:rsid w:val="00D47EA2"/>
    <w:rsid w:val="00D50F26"/>
    <w:rsid w:val="00D513DC"/>
    <w:rsid w:val="00D52DE1"/>
    <w:rsid w:val="00D531C7"/>
    <w:rsid w:val="00D61358"/>
    <w:rsid w:val="00D6201B"/>
    <w:rsid w:val="00D6422A"/>
    <w:rsid w:val="00D64D82"/>
    <w:rsid w:val="00D72E78"/>
    <w:rsid w:val="00D75E9C"/>
    <w:rsid w:val="00D763FD"/>
    <w:rsid w:val="00D76906"/>
    <w:rsid w:val="00D82561"/>
    <w:rsid w:val="00D82AE3"/>
    <w:rsid w:val="00D830A5"/>
    <w:rsid w:val="00D869B5"/>
    <w:rsid w:val="00D86CE0"/>
    <w:rsid w:val="00D903E9"/>
    <w:rsid w:val="00D93BA6"/>
    <w:rsid w:val="00D943EA"/>
    <w:rsid w:val="00D963D9"/>
    <w:rsid w:val="00D973FA"/>
    <w:rsid w:val="00DA0B48"/>
    <w:rsid w:val="00DA0C32"/>
    <w:rsid w:val="00DA2EEA"/>
    <w:rsid w:val="00DA44A3"/>
    <w:rsid w:val="00DA478A"/>
    <w:rsid w:val="00DA6458"/>
    <w:rsid w:val="00DB00FA"/>
    <w:rsid w:val="00DB277F"/>
    <w:rsid w:val="00DB4835"/>
    <w:rsid w:val="00DB526E"/>
    <w:rsid w:val="00DB52C5"/>
    <w:rsid w:val="00DB5693"/>
    <w:rsid w:val="00DB59BB"/>
    <w:rsid w:val="00DC11AD"/>
    <w:rsid w:val="00DC190C"/>
    <w:rsid w:val="00DC1AE5"/>
    <w:rsid w:val="00DC22CA"/>
    <w:rsid w:val="00DC2C26"/>
    <w:rsid w:val="00DC41BB"/>
    <w:rsid w:val="00DC4638"/>
    <w:rsid w:val="00DC596F"/>
    <w:rsid w:val="00DC5BC4"/>
    <w:rsid w:val="00DC6020"/>
    <w:rsid w:val="00DC7A6B"/>
    <w:rsid w:val="00DD0E65"/>
    <w:rsid w:val="00DD27D4"/>
    <w:rsid w:val="00DD2A82"/>
    <w:rsid w:val="00DD45D1"/>
    <w:rsid w:val="00DD46BD"/>
    <w:rsid w:val="00DD4952"/>
    <w:rsid w:val="00DD4BFB"/>
    <w:rsid w:val="00DD63AB"/>
    <w:rsid w:val="00DD7C71"/>
    <w:rsid w:val="00DE0FE8"/>
    <w:rsid w:val="00DE2AF5"/>
    <w:rsid w:val="00DE3B06"/>
    <w:rsid w:val="00DE6A54"/>
    <w:rsid w:val="00DE7721"/>
    <w:rsid w:val="00DF05BE"/>
    <w:rsid w:val="00DF0BA9"/>
    <w:rsid w:val="00DF167E"/>
    <w:rsid w:val="00DF72A8"/>
    <w:rsid w:val="00E01352"/>
    <w:rsid w:val="00E02A68"/>
    <w:rsid w:val="00E02A8B"/>
    <w:rsid w:val="00E02D99"/>
    <w:rsid w:val="00E03812"/>
    <w:rsid w:val="00E03DB4"/>
    <w:rsid w:val="00E04101"/>
    <w:rsid w:val="00E10188"/>
    <w:rsid w:val="00E15DC4"/>
    <w:rsid w:val="00E161E8"/>
    <w:rsid w:val="00E1729B"/>
    <w:rsid w:val="00E1791D"/>
    <w:rsid w:val="00E20876"/>
    <w:rsid w:val="00E214AF"/>
    <w:rsid w:val="00E221DB"/>
    <w:rsid w:val="00E26EA6"/>
    <w:rsid w:val="00E30BDE"/>
    <w:rsid w:val="00E30C8E"/>
    <w:rsid w:val="00E34090"/>
    <w:rsid w:val="00E3451D"/>
    <w:rsid w:val="00E36F67"/>
    <w:rsid w:val="00E4043A"/>
    <w:rsid w:val="00E40F78"/>
    <w:rsid w:val="00E42722"/>
    <w:rsid w:val="00E43A52"/>
    <w:rsid w:val="00E44678"/>
    <w:rsid w:val="00E4638A"/>
    <w:rsid w:val="00E47A94"/>
    <w:rsid w:val="00E50817"/>
    <w:rsid w:val="00E51E12"/>
    <w:rsid w:val="00E53818"/>
    <w:rsid w:val="00E54906"/>
    <w:rsid w:val="00E56321"/>
    <w:rsid w:val="00E56832"/>
    <w:rsid w:val="00E60D21"/>
    <w:rsid w:val="00E6694B"/>
    <w:rsid w:val="00E676DF"/>
    <w:rsid w:val="00E74F0E"/>
    <w:rsid w:val="00E75D8D"/>
    <w:rsid w:val="00E816DC"/>
    <w:rsid w:val="00E82620"/>
    <w:rsid w:val="00E82CDB"/>
    <w:rsid w:val="00E857A5"/>
    <w:rsid w:val="00E86184"/>
    <w:rsid w:val="00E86196"/>
    <w:rsid w:val="00E870C5"/>
    <w:rsid w:val="00E90DDB"/>
    <w:rsid w:val="00E93293"/>
    <w:rsid w:val="00E93704"/>
    <w:rsid w:val="00E95BC5"/>
    <w:rsid w:val="00E96430"/>
    <w:rsid w:val="00E9767A"/>
    <w:rsid w:val="00EA0A39"/>
    <w:rsid w:val="00EA19BA"/>
    <w:rsid w:val="00EA2157"/>
    <w:rsid w:val="00EA444C"/>
    <w:rsid w:val="00EA5F3B"/>
    <w:rsid w:val="00EA607E"/>
    <w:rsid w:val="00EA6824"/>
    <w:rsid w:val="00EB1C5E"/>
    <w:rsid w:val="00EB3805"/>
    <w:rsid w:val="00EB3863"/>
    <w:rsid w:val="00EB44F8"/>
    <w:rsid w:val="00EB4F59"/>
    <w:rsid w:val="00EB4F88"/>
    <w:rsid w:val="00EB526A"/>
    <w:rsid w:val="00EB5C38"/>
    <w:rsid w:val="00EB5FAA"/>
    <w:rsid w:val="00EB7643"/>
    <w:rsid w:val="00EC03C0"/>
    <w:rsid w:val="00EC0F72"/>
    <w:rsid w:val="00EC1220"/>
    <w:rsid w:val="00EC1793"/>
    <w:rsid w:val="00EC2509"/>
    <w:rsid w:val="00EC5467"/>
    <w:rsid w:val="00EC7D90"/>
    <w:rsid w:val="00ED0FC2"/>
    <w:rsid w:val="00ED1E23"/>
    <w:rsid w:val="00ED2426"/>
    <w:rsid w:val="00ED46E2"/>
    <w:rsid w:val="00ED75DE"/>
    <w:rsid w:val="00EE05E2"/>
    <w:rsid w:val="00EE375E"/>
    <w:rsid w:val="00EE387C"/>
    <w:rsid w:val="00EE6417"/>
    <w:rsid w:val="00EF0A6C"/>
    <w:rsid w:val="00EF0CF7"/>
    <w:rsid w:val="00EF1523"/>
    <w:rsid w:val="00EF4FCC"/>
    <w:rsid w:val="00EF4FDD"/>
    <w:rsid w:val="00EF634D"/>
    <w:rsid w:val="00F00746"/>
    <w:rsid w:val="00F00A03"/>
    <w:rsid w:val="00F013F7"/>
    <w:rsid w:val="00F01C08"/>
    <w:rsid w:val="00F02F04"/>
    <w:rsid w:val="00F05CB0"/>
    <w:rsid w:val="00F07734"/>
    <w:rsid w:val="00F07DA1"/>
    <w:rsid w:val="00F07F3F"/>
    <w:rsid w:val="00F14DC5"/>
    <w:rsid w:val="00F152EC"/>
    <w:rsid w:val="00F17281"/>
    <w:rsid w:val="00F216F4"/>
    <w:rsid w:val="00F218DD"/>
    <w:rsid w:val="00F2332C"/>
    <w:rsid w:val="00F251E7"/>
    <w:rsid w:val="00F26603"/>
    <w:rsid w:val="00F3126B"/>
    <w:rsid w:val="00F3127E"/>
    <w:rsid w:val="00F34DC9"/>
    <w:rsid w:val="00F35072"/>
    <w:rsid w:val="00F3607B"/>
    <w:rsid w:val="00F36A78"/>
    <w:rsid w:val="00F37D2E"/>
    <w:rsid w:val="00F37EB5"/>
    <w:rsid w:val="00F431D0"/>
    <w:rsid w:val="00F467E1"/>
    <w:rsid w:val="00F47756"/>
    <w:rsid w:val="00F47835"/>
    <w:rsid w:val="00F47F80"/>
    <w:rsid w:val="00F50403"/>
    <w:rsid w:val="00F5168F"/>
    <w:rsid w:val="00F53379"/>
    <w:rsid w:val="00F53C9D"/>
    <w:rsid w:val="00F53F3C"/>
    <w:rsid w:val="00F54BAB"/>
    <w:rsid w:val="00F54F3C"/>
    <w:rsid w:val="00F55373"/>
    <w:rsid w:val="00F5577B"/>
    <w:rsid w:val="00F60A26"/>
    <w:rsid w:val="00F60A3F"/>
    <w:rsid w:val="00F62249"/>
    <w:rsid w:val="00F64358"/>
    <w:rsid w:val="00F65190"/>
    <w:rsid w:val="00F65B36"/>
    <w:rsid w:val="00F66CD3"/>
    <w:rsid w:val="00F66DAA"/>
    <w:rsid w:val="00F67106"/>
    <w:rsid w:val="00F67CCA"/>
    <w:rsid w:val="00F70480"/>
    <w:rsid w:val="00F718E2"/>
    <w:rsid w:val="00F7252A"/>
    <w:rsid w:val="00F74D39"/>
    <w:rsid w:val="00F75BA8"/>
    <w:rsid w:val="00F75CAC"/>
    <w:rsid w:val="00F76047"/>
    <w:rsid w:val="00F765A2"/>
    <w:rsid w:val="00F768FB"/>
    <w:rsid w:val="00F77BD1"/>
    <w:rsid w:val="00F77CC8"/>
    <w:rsid w:val="00F77DDA"/>
    <w:rsid w:val="00F77F03"/>
    <w:rsid w:val="00F85F99"/>
    <w:rsid w:val="00F85FC5"/>
    <w:rsid w:val="00F862AA"/>
    <w:rsid w:val="00F8699D"/>
    <w:rsid w:val="00F903A7"/>
    <w:rsid w:val="00F91D45"/>
    <w:rsid w:val="00F92E8B"/>
    <w:rsid w:val="00F947BC"/>
    <w:rsid w:val="00FA072C"/>
    <w:rsid w:val="00FA25E5"/>
    <w:rsid w:val="00FB526D"/>
    <w:rsid w:val="00FC0E35"/>
    <w:rsid w:val="00FC2106"/>
    <w:rsid w:val="00FC45FD"/>
    <w:rsid w:val="00FC47BE"/>
    <w:rsid w:val="00FC57E3"/>
    <w:rsid w:val="00FC60AF"/>
    <w:rsid w:val="00FC73FE"/>
    <w:rsid w:val="00FC7507"/>
    <w:rsid w:val="00FC78D4"/>
    <w:rsid w:val="00FD10EE"/>
    <w:rsid w:val="00FD2A38"/>
    <w:rsid w:val="00FD41EB"/>
    <w:rsid w:val="00FD5A59"/>
    <w:rsid w:val="00FD5DB1"/>
    <w:rsid w:val="00FD605C"/>
    <w:rsid w:val="00FE0BA2"/>
    <w:rsid w:val="00FE1223"/>
    <w:rsid w:val="00FE3BDD"/>
    <w:rsid w:val="00FE452F"/>
    <w:rsid w:val="00FE4CF6"/>
    <w:rsid w:val="00FE550E"/>
    <w:rsid w:val="00FE6052"/>
    <w:rsid w:val="00FE62B4"/>
    <w:rsid w:val="00FE6E82"/>
    <w:rsid w:val="00FE7906"/>
    <w:rsid w:val="00FE7C30"/>
    <w:rsid w:val="00FE7EA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003D4A"/>
    <w:rPr>
      <w:color w:val="808080"/>
      <w:shd w:val="clear" w:color="auto" w:fill="E6E6E6"/>
    </w:rPr>
  </w:style>
  <w:style w:type="character" w:customStyle="1" w:styleId="af9">
    <w:name w:val="Основной текст + Полужирный"/>
    <w:basedOn w:val="a0"/>
    <w:uiPriority w:val="99"/>
    <w:rsid w:val="00AA7E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-121">
    <w:name w:val="Светлая заливка - Акцент 121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2">
    <w:name w:val="Светлая заливка - Акцент 122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003D4A"/>
    <w:rPr>
      <w:color w:val="808080"/>
      <w:shd w:val="clear" w:color="auto" w:fill="E6E6E6"/>
    </w:rPr>
  </w:style>
  <w:style w:type="character" w:customStyle="1" w:styleId="af9">
    <w:name w:val="Основной текст + Полужирный"/>
    <w:basedOn w:val="a0"/>
    <w:uiPriority w:val="99"/>
    <w:rsid w:val="00AA7E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-121">
    <w:name w:val="Светлая заливка - Акцент 121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2">
    <w:name w:val="Светлая заливка - Акцент 122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78B212A120A41DD829733BE037CF46FDA01847C60CC08880268466AB8DBF497438BEEB494F618AECF0BBE13B0B0D7D677F9736D8339D14n266O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e.korobkova\Desktop\Documents\&#1045;&#1082;&#1072;&#1090;&#1077;&#1088;&#1080;&#1085;&#1072;\&#1040;&#1053;&#1040;&#1051;&#1048;&#1047;\2019\&#1040;&#1085;&#1072;&#1083;&#1080;&#1079;%20&#1079;&#1072;%209%20&#1084;&#1077;&#1089;&#1103;&#1094;&#1077;&#1074;%202019\&#1074;&#1072;&#1082;_9%20&#1084;&#1077;&#1089;%20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2018-2019 гг.</a:t>
            </a:r>
          </a:p>
        </c:rich>
      </c:tx>
      <c:layout>
        <c:manualLayout>
          <c:xMode val="edge"/>
          <c:yMode val="edge"/>
          <c:x val="0.17989531567920003"/>
          <c:y val="2.70287853362591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038991883939574E-2"/>
          <c:y val="0.22903937007874015"/>
          <c:w val="0.89506193182805793"/>
          <c:h val="0.50142317456219609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0064130316799362E-2"/>
                  <c:y val="9.455157239488480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389480966498E-2"/>
                  <c:y val="8.7688413530062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90424859334E-2"/>
                  <c:y val="8.9814856510916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00139649161154E-2"/>
                  <c:y val="8.7637360048005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39232488408E-2"/>
                  <c:y val="8.644192312968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347236353485456E-2"/>
                  <c:y val="7.7627212186649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332189453075E-2"/>
                  <c:y val="9.3659838241623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18453321254084E-2"/>
                  <c:y val="9.563259715084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607729017328E-2"/>
                  <c:y val="8.5355923931882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9938278608545687E-2"/>
                  <c:y val="0.10496553504582419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569888743036396E-2"/>
                  <c:y val="9.180646593659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949192232954E-2"/>
                  <c:y val="9.3204807719495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4007881579644045E-2"/>
                  <c:y val="0.10111372144055764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65632138691E-2"/>
                  <c:y val="9.301368442769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79239723067E-2"/>
                  <c:y val="8.4394809405569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762304567836799E-2"/>
                  <c:y val="0.113470160492233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7074890134410433E-2"/>
                  <c:y val="0.101832795490727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7265197758061225E-2"/>
                  <c:y val="9.6764855212770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235668308032103E-2"/>
                  <c:y val="0.1111552859171292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9032123866362E-2"/>
                  <c:y val="9.3895099178176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042282178704607E-2"/>
                  <c:y val="9.9304849188933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6258140643082436E-2"/>
                  <c:y val="0.1020458672174175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Sheet1!$A$74:$A$95</c:f>
              <c:numCache>
                <c:formatCode>m/d/yyyy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Sheet1!$B$74:$B$95</c:f>
              <c:numCache>
                <c:formatCode>General</c:formatCode>
                <c:ptCount val="22"/>
                <c:pt idx="0">
                  <c:v>3456</c:v>
                </c:pt>
                <c:pt idx="1">
                  <c:v>3452</c:v>
                </c:pt>
                <c:pt idx="2">
                  <c:v>3732</c:v>
                </c:pt>
                <c:pt idx="3">
                  <c:v>3590</c:v>
                </c:pt>
                <c:pt idx="4">
                  <c:v>3328</c:v>
                </c:pt>
                <c:pt idx="5">
                  <c:v>3116</c:v>
                </c:pt>
                <c:pt idx="6">
                  <c:v>2996</c:v>
                </c:pt>
                <c:pt idx="7">
                  <c:v>3033</c:v>
                </c:pt>
                <c:pt idx="8">
                  <c:v>3093</c:v>
                </c:pt>
                <c:pt idx="9">
                  <c:v>3053</c:v>
                </c:pt>
                <c:pt idx="10">
                  <c:v>2946</c:v>
                </c:pt>
                <c:pt idx="11">
                  <c:v>3069</c:v>
                </c:pt>
                <c:pt idx="12">
                  <c:v>3050</c:v>
                </c:pt>
                <c:pt idx="13">
                  <c:v>3314</c:v>
                </c:pt>
                <c:pt idx="14">
                  <c:v>3660</c:v>
                </c:pt>
                <c:pt idx="15">
                  <c:v>3830</c:v>
                </c:pt>
                <c:pt idx="16">
                  <c:v>3846</c:v>
                </c:pt>
                <c:pt idx="17">
                  <c:v>3606</c:v>
                </c:pt>
                <c:pt idx="18">
                  <c:v>3524</c:v>
                </c:pt>
                <c:pt idx="19">
                  <c:v>3522</c:v>
                </c:pt>
                <c:pt idx="20">
                  <c:v>3654</c:v>
                </c:pt>
                <c:pt idx="21">
                  <c:v>3555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175616"/>
        <c:axId val="86127360"/>
      </c:lineChart>
      <c:dateAx>
        <c:axId val="5617561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12736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8612736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175616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23145326294440469"/>
          <c:y val="1.208605132033439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10838701980434E-2"/>
          <c:y val="0.15807764487454334"/>
          <c:w val="0.91191902287453186"/>
          <c:h val="0.5567311309882297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2.4404372407752964E-2"/>
                  <c:y val="7.237007046043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28107850157E-2"/>
                  <c:y val="7.4192411500970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903752087807207E-2"/>
                  <c:y val="7.9059876722208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39748776044E-2"/>
                  <c:y val="5.8415797953593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128847530422E-2"/>
                  <c:y val="7.940368643721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323822035529299E-2"/>
                  <c:y val="5.6051290802272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826861130994989E-2"/>
                  <c:y val="6.6703248496204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895967549511E-2"/>
                  <c:y val="6.459696787193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7044858029109E-2"/>
                  <c:y val="6.8004134044150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835212359818657E-2"/>
                  <c:y val="6.9289851516435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77738010023E-2"/>
                  <c:y val="7.6665997486858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659747077071E-2"/>
                  <c:y val="7.0874171889986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384454784061082E-2"/>
                  <c:y val="7.8986118236636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019774516821761E-2"/>
                  <c:y val="6.93778858379246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46241947028E-2"/>
                  <c:y val="6.49342344954756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5078292770221906E-2"/>
                  <c:y val="6.65349125976817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42185635887E-2"/>
                  <c:y val="7.2084048983961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06680983059E-2"/>
                  <c:y val="7.8646174893860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2740545215938915E-2"/>
                  <c:y val="7.67721740164915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Лист2!$A$59:$A$80</c:f>
              <c:numCache>
                <c:formatCode>m/d/yyyy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Лист2!$B$59:$B$80</c:f>
              <c:numCache>
                <c:formatCode>General</c:formatCode>
                <c:ptCount val="22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 formatCode="0.00">
                  <c:v>0.3</c:v>
                </c:pt>
                <c:pt idx="7" formatCode="0.00">
                  <c:v>0.3</c:v>
                </c:pt>
                <c:pt idx="8">
                  <c:v>0.31</c:v>
                </c:pt>
                <c:pt idx="9">
                  <c:v>0.31</c:v>
                </c:pt>
                <c:pt idx="10" formatCode="0.00">
                  <c:v>0.3</c:v>
                </c:pt>
                <c:pt idx="11">
                  <c:v>0.31</c:v>
                </c:pt>
                <c:pt idx="12" formatCode="0.00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  <c:pt idx="19">
                  <c:v>0.34</c:v>
                </c:pt>
                <c:pt idx="20">
                  <c:v>0.36</c:v>
                </c:pt>
                <c:pt idx="21">
                  <c:v>0.35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962270341207349E-2"/>
                  <c:y val="6.35768404303569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35749224528752E-2"/>
                  <c:y val="5.5265627207363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344339059890243E-2"/>
                  <c:y val="6.2447264913415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85993796231E-2"/>
                  <c:y val="6.1029793372145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318330947267955E-2"/>
                  <c:y val="6.6597071966570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093205678835636E-2"/>
                  <c:y val="7.4524027272794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292173705559501E-2"/>
                  <c:y val="6.5168596135114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89170245764734E-2"/>
                  <c:y val="6.75285702601622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584198282032926E-2"/>
                  <c:y val="7.2062635230086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865545215938917E-2"/>
                  <c:y val="6.1103849270965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243492013020159E-2"/>
                  <c:y val="5.1425530013082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263630398472849E-2"/>
                  <c:y val="6.5067475630701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656555714626581E-2"/>
                  <c:y val="5.6756262407708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683697208303438E-2"/>
                  <c:y val="6.6600046099053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231836077308517E-2"/>
                  <c:y val="5.7786501899727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577576950608447E-2"/>
                  <c:y val="7.24373759229104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552553089954663E-2"/>
                  <c:y val="6.4792368376049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745884037222E-2"/>
                  <c:y val="6.3117634375023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535910283943E-2"/>
                  <c:y val="6.51730573338389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217817943211643E-2"/>
                  <c:y val="7.7275992059066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5889554998806966E-2"/>
                  <c:y val="7.8268460068553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301091624910521E-2"/>
                  <c:y val="7.3822726833366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75837119619E-2"/>
                  <c:y val="4.8523926769215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Лист2!$A$59:$A$80</c:f>
              <c:numCache>
                <c:formatCode>m/d/yyyy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Лист2!$C$59:$C$80</c:f>
              <c:numCache>
                <c:formatCode>0.0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 formatCode="General">
                  <c:v>0.9</c:v>
                </c:pt>
                <c:pt idx="8" formatCode="General">
                  <c:v>0.9</c:v>
                </c:pt>
                <c:pt idx="9">
                  <c:v>0.9</c:v>
                </c:pt>
                <c:pt idx="10" formatCode="General">
                  <c:v>0.8</c:v>
                </c:pt>
                <c:pt idx="11" formatCode="General">
                  <c:v>0.9</c:v>
                </c:pt>
                <c:pt idx="12" formatCode="General">
                  <c:v>0.9</c:v>
                </c:pt>
                <c:pt idx="13">
                  <c:v>1</c:v>
                </c:pt>
                <c:pt idx="14">
                  <c:v>1</c:v>
                </c:pt>
                <c:pt idx="15" formatCode="General">
                  <c:v>1.1000000000000001</c:v>
                </c:pt>
                <c:pt idx="16" formatCode="General">
                  <c:v>1.1000000000000001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0.9</c:v>
                </c:pt>
                <c:pt idx="21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207872"/>
        <c:axId val="86213760"/>
      </c:lineChart>
      <c:dateAx>
        <c:axId val="8620787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21376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86213760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207872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089482607320029"/>
          <c:y val="0.9292744248768614"/>
          <c:w val="0.78762136667029259"/>
          <c:h val="5.330430852541534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3106620186408588"/>
          <c:y val="2.851750272788936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603341377993393E-2"/>
          <c:y val="0.14764044943820226"/>
          <c:w val="0.88518635170603677"/>
          <c:h val="0.633944970361850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 rot="-5400000" vert="horz"/>
                <a:lstStyle/>
                <a:p>
                  <a:pPr>
                    <a:defRPr sz="1200" b="0" i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2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Лист1!$A$73:$A$94</c:f>
              <c:numCache>
                <c:formatCode>dd/mm/yy;@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Лист1!$B$73:$B$94</c:f>
              <c:numCache>
                <c:formatCode>General</c:formatCode>
                <c:ptCount val="22"/>
                <c:pt idx="0">
                  <c:v>18683</c:v>
                </c:pt>
                <c:pt idx="1">
                  <c:v>19659</c:v>
                </c:pt>
                <c:pt idx="2">
                  <c:v>19391</c:v>
                </c:pt>
                <c:pt idx="3">
                  <c:v>19407</c:v>
                </c:pt>
                <c:pt idx="4">
                  <c:v>20236</c:v>
                </c:pt>
                <c:pt idx="5">
                  <c:v>22998</c:v>
                </c:pt>
                <c:pt idx="6">
                  <c:v>22942</c:v>
                </c:pt>
                <c:pt idx="7">
                  <c:v>23202</c:v>
                </c:pt>
                <c:pt idx="8">
                  <c:v>22896</c:v>
                </c:pt>
                <c:pt idx="9">
                  <c:v>22123</c:v>
                </c:pt>
                <c:pt idx="10">
                  <c:v>19954</c:v>
                </c:pt>
                <c:pt idx="11">
                  <c:v>20046</c:v>
                </c:pt>
                <c:pt idx="12">
                  <c:v>19315</c:v>
                </c:pt>
                <c:pt idx="13">
                  <c:v>18847</c:v>
                </c:pt>
                <c:pt idx="14">
                  <c:v>18885</c:v>
                </c:pt>
                <c:pt idx="15">
                  <c:v>20340</c:v>
                </c:pt>
                <c:pt idx="16">
                  <c:v>20620</c:v>
                </c:pt>
                <c:pt idx="17">
                  <c:v>22546</c:v>
                </c:pt>
                <c:pt idx="18">
                  <c:v>22751</c:v>
                </c:pt>
                <c:pt idx="19">
                  <c:v>23333</c:v>
                </c:pt>
                <c:pt idx="20">
                  <c:v>22585</c:v>
                </c:pt>
                <c:pt idx="21">
                  <c:v>23767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0427648"/>
        <c:axId val="100429184"/>
      </c:barChart>
      <c:dateAx>
        <c:axId val="10042764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>
                <a:solidFill>
                  <a:srgbClr val="002060"/>
                </a:solidFill>
              </a:defRPr>
            </a:pPr>
            <a:endParaRPr lang="ru-RU"/>
          </a:p>
        </c:txPr>
        <c:crossAx val="10042918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00429184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0427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0.01208</cdr:x>
      <cdr:y>0.08942</cdr:y>
    </cdr:from>
    <cdr:to>
      <cdr:x>0.06434</cdr:x>
      <cdr:y>0.15368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4295" y="259949"/>
          <a:ext cx="321530" cy="1868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0.0574</cdr:y>
    </cdr:from>
    <cdr:to>
      <cdr:x>0.06364</cdr:x>
      <cdr:y>0.11229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0.01395</cdr:x>
      <cdr:y>0.06441</cdr:y>
    </cdr:from>
    <cdr:to>
      <cdr:x>0.0566</cdr:x>
      <cdr:y>0.1143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5807" y="218395"/>
          <a:ext cx="262405" cy="1691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ACFB-9761-4734-9FBF-023215E3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31</Pages>
  <Words>12653</Words>
  <Characters>72128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Осипов Евгений Владимирович</cp:lastModifiedBy>
  <cp:revision>142</cp:revision>
  <cp:lastPrinted>2019-10-07T16:13:00Z</cp:lastPrinted>
  <dcterms:created xsi:type="dcterms:W3CDTF">2019-04-22T13:29:00Z</dcterms:created>
  <dcterms:modified xsi:type="dcterms:W3CDTF">2019-10-23T07:31:00Z</dcterms:modified>
</cp:coreProperties>
</file>