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6F055604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E5DD" w14:textId="77777777"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B40E2D" wp14:editId="64908BB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3033B1" w14:textId="77777777"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53BD011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32A9C995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735D1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860DA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84CF49A" wp14:editId="5B507ADB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D38616F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E227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6AB57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7F2C9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DC1E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E2F3C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4B76DD73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2A1A57A6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4FA15119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7AB10518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741D61D3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263EE273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558226EC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9860544" wp14:editId="6584D625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4183E7B" wp14:editId="2121C3E3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7D1C2112" w14:textId="77777777" w:rsidR="00AB4A3D" w:rsidRPr="00AB4A3D" w:rsidRDefault="00CC759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за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="00F7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9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</w:p>
          <w:p w14:paraId="3B2D9A9D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648EB8" wp14:editId="57C3E59C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1423D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62A709C1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2E2B06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54CF6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653A8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42926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B7DD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724E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07C0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3E467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09A0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42088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0E057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48C3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354E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D09B2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9BB18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B61DB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5FC1B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8560B8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C1C35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14C776D" wp14:editId="3D8E5DB3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32DAEC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AD7259" wp14:editId="2E087D66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C6C0935" w14:textId="77777777" w:rsidR="00294B40" w:rsidRDefault="00294B40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7C6C0935" w14:textId="77777777" w:rsidR="00294B40" w:rsidRDefault="00294B40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7EA289D" w14:textId="77777777" w:rsidR="00F5665F" w:rsidRPr="005B4D21" w:rsidRDefault="00F5665F" w:rsidP="00F5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7D24E067" w14:textId="77777777" w:rsidR="00F5665F" w:rsidRPr="005B4D21" w:rsidRDefault="00F5665F" w:rsidP="00F5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23AB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 </w:t>
      </w: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9</w:t>
      </w: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</w:p>
    <w:p w14:paraId="0AC1D9AA" w14:textId="77777777" w:rsidR="00F5665F" w:rsidRDefault="00F5665F" w:rsidP="00F566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14:paraId="49C8072E" w14:textId="77777777" w:rsidR="00F5665F" w:rsidRPr="00294B40" w:rsidRDefault="00F5665F" w:rsidP="00F5665F">
      <w:pPr>
        <w:pStyle w:val="21"/>
      </w:pPr>
      <w:r w:rsidRPr="00294B40">
        <w:t>Рынок труда Ленинградской области в 2019 году развивался динамично. При этом</w:t>
      </w:r>
      <w:proofErr w:type="gramStart"/>
      <w:r w:rsidRPr="00294B40">
        <w:t>,</w:t>
      </w:r>
      <w:proofErr w:type="gramEnd"/>
      <w:r w:rsidRPr="00294B40">
        <w:t xml:space="preserve"> удалось сохранить достигнутую в предыдущие годы стабильность.</w:t>
      </w:r>
    </w:p>
    <w:p w14:paraId="19C840F0" w14:textId="77777777" w:rsidR="00F5665F" w:rsidRPr="00294B40" w:rsidRDefault="00F5665F" w:rsidP="00F5665F">
      <w:pPr>
        <w:pStyle w:val="21"/>
        <w:rPr>
          <w:szCs w:val="20"/>
        </w:rPr>
      </w:pPr>
      <w:r w:rsidRPr="00294B40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14:paraId="326FE6C5" w14:textId="77777777" w:rsidR="00F5665F" w:rsidRPr="00294B40" w:rsidRDefault="00F5665F" w:rsidP="00F5665F">
      <w:pPr>
        <w:pStyle w:val="21"/>
      </w:pPr>
      <w:r w:rsidRPr="00294B40">
        <w:tab/>
      </w:r>
      <w:r w:rsidRPr="00294B40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294B40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14:paraId="09F4D429" w14:textId="77777777" w:rsidR="00F5665F" w:rsidRPr="00294B40" w:rsidRDefault="00F5665F" w:rsidP="00F56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гражданами </w:t>
      </w: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89237 заявлений о предоставлении государственных услуг (далее –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07BCC0A" w14:textId="77777777" w:rsidR="00F5665F" w:rsidRPr="00294B40" w:rsidRDefault="00F5665F" w:rsidP="00F56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4F5660" w14:textId="77777777" w:rsidR="00F5665F" w:rsidRPr="00294B40" w:rsidRDefault="00F5665F" w:rsidP="00F56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32097 человек;</w:t>
      </w:r>
    </w:p>
    <w:p w14:paraId="16B18A4D" w14:textId="77777777" w:rsidR="00F5665F" w:rsidRPr="00294B40" w:rsidRDefault="00F5665F" w:rsidP="00F56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1668 безработных граждан;</w:t>
      </w:r>
    </w:p>
    <w:p w14:paraId="34137554" w14:textId="77777777" w:rsidR="00F5665F" w:rsidRPr="00294B40" w:rsidRDefault="00F5665F" w:rsidP="00F5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1739 безработных граждан;</w:t>
      </w:r>
    </w:p>
    <w:p w14:paraId="6988EAAF" w14:textId="77777777" w:rsidR="00F5665F" w:rsidRPr="00294B40" w:rsidRDefault="00F5665F" w:rsidP="00F5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1525 человек;</w:t>
      </w:r>
    </w:p>
    <w:p w14:paraId="44A02D3E" w14:textId="77777777" w:rsidR="00F5665F" w:rsidRPr="00294B40" w:rsidRDefault="00F5665F" w:rsidP="00F5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информированию о положении на рынке труда – 27461 человек и 3850 работодателей.</w:t>
      </w:r>
    </w:p>
    <w:p w14:paraId="4FF46C0E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BB87" w14:textId="77777777" w:rsidR="007C062A" w:rsidRPr="00294B40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E048F" w14:textId="77777777"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365AAAD" w14:textId="77777777" w:rsidR="00F5665F" w:rsidRPr="005B4D21" w:rsidRDefault="00F5665F" w:rsidP="00F56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1E51AAA2" w14:textId="77777777" w:rsidR="00F5665F" w:rsidRPr="004261F7" w:rsidRDefault="00F5665F" w:rsidP="00F56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E0BBF06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обратились в службу занятости за содействием в поиске подходящей работы 28441 человек, что на 1851 человека больше, чем в 2018 году.</w:t>
      </w:r>
    </w:p>
    <w:p w14:paraId="63AC2F88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5FA852E4" w14:textId="77777777" w:rsidR="00F5665F" w:rsidRPr="00294B40" w:rsidRDefault="00F5665F" w:rsidP="00F56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области, работавшие в Санкт-Петербурге и других регионах, и уволенные                       по различным причинам. </w:t>
      </w: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2019 года, это 3772 областных жителя (обратившийся                    в службу занятости), на 604 человека больше, чем в 2018 году (3314 человек);</w:t>
      </w:r>
      <w:proofErr w:type="gramEnd"/>
    </w:p>
    <w:p w14:paraId="5780D08A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организации, либо сокращением численности или штата работников организации, – 2254 человека (7,9% от обратившихся в поиске подходящей работы), что на 209 человек меньше, чем в 2018 году;</w:t>
      </w:r>
    </w:p>
    <w:p w14:paraId="03CD2490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70006766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1428 пенсионеров (5% от обратившихся в поиске подходящей работы);</w:t>
      </w:r>
      <w:proofErr w:type="gramEnd"/>
    </w:p>
    <w:p w14:paraId="5A8BB202" w14:textId="77777777" w:rsidR="00F5665F" w:rsidRPr="00294B40" w:rsidRDefault="00F5665F" w:rsidP="00F5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1658 инвалидов (5,8%);</w:t>
      </w:r>
    </w:p>
    <w:p w14:paraId="3C38DD9B" w14:textId="77777777" w:rsidR="00F5665F" w:rsidRPr="00294B40" w:rsidRDefault="00F5665F" w:rsidP="00F5665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3654 родителя, имеющих несовершеннолетних детей (12,8%); </w:t>
      </w:r>
    </w:p>
    <w:p w14:paraId="6C9A45D8" w14:textId="77777777" w:rsidR="00F5665F" w:rsidRPr="00294B40" w:rsidRDefault="00F5665F" w:rsidP="00F5665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3740 граждан, стремящихся возобновить трудовую деятельность после длительного (более года) перерыва, (13,2%) и др.</w:t>
      </w:r>
    </w:p>
    <w:p w14:paraId="757654B2" w14:textId="77777777" w:rsidR="00F5665F" w:rsidRPr="00294B40" w:rsidRDefault="00F5665F" w:rsidP="00F566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граждан, обратившихся в поиске подходящей работы (28441 человек): </w:t>
      </w:r>
    </w:p>
    <w:p w14:paraId="579C19CA" w14:textId="77777777" w:rsidR="00F5665F" w:rsidRPr="00294B40" w:rsidRDefault="00F5665F" w:rsidP="00F5665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65,7% (в 2018 году – 65,7%);</w:t>
      </w:r>
    </w:p>
    <w:p w14:paraId="1A962E3B" w14:textId="77777777" w:rsidR="00F5665F" w:rsidRPr="00294B40" w:rsidRDefault="00F5665F" w:rsidP="00F5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49,4% (в 2018 году – 49,9%);</w:t>
      </w:r>
    </w:p>
    <w:p w14:paraId="0E784ABA" w14:textId="77777777" w:rsidR="00F5665F" w:rsidRPr="00294B40" w:rsidRDefault="00F5665F" w:rsidP="00F5665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14-29 лет – 45,6% (в 2018 году – 46,9%).</w:t>
      </w:r>
    </w:p>
    <w:p w14:paraId="37D78B60" w14:textId="77777777" w:rsidR="00F5665F" w:rsidRPr="00C35ED6" w:rsidRDefault="00F5665F" w:rsidP="00F5665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AB87E" wp14:editId="2D5492B7">
                <wp:simplePos x="0" y="0"/>
                <wp:positionH relativeFrom="column">
                  <wp:posOffset>427355</wp:posOffset>
                </wp:positionH>
                <wp:positionV relativeFrom="paragraph">
                  <wp:posOffset>311785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4CEB08" w14:textId="77777777" w:rsidR="00294B40" w:rsidRPr="000C04FD" w:rsidRDefault="00294B40" w:rsidP="00F566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74E182AC" w14:textId="77777777" w:rsidR="00294B40" w:rsidRPr="000C04FD" w:rsidRDefault="00294B40" w:rsidP="00F566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0A5EE890" w14:textId="77777777" w:rsidR="00294B40" w:rsidRPr="000C04FD" w:rsidRDefault="00294B40" w:rsidP="00F566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C04F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января 2020 года на учете в службе занятости населения </w:t>
                            </w:r>
                          </w:p>
                          <w:p w14:paraId="760C9B53" w14:textId="77777777" w:rsidR="00294B40" w:rsidRPr="000C04FD" w:rsidRDefault="00294B40" w:rsidP="00F566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C04F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4953 человека, </w:t>
                            </w:r>
                            <w:proofErr w:type="gramStart"/>
                            <w:r w:rsidRPr="000C04F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0C04F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14:paraId="5CAFB623" w14:textId="77777777" w:rsidR="00294B40" w:rsidRPr="000C04FD" w:rsidRDefault="00294B40" w:rsidP="00F5665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5BEB47A3" w14:textId="77777777" w:rsidR="00294B40" w:rsidRPr="000C04FD" w:rsidRDefault="00294B40" w:rsidP="00F5665F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C04F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364 человека больше, чем на 1 января 2019 года;</w:t>
                            </w:r>
                          </w:p>
                          <w:p w14:paraId="6C2819C5" w14:textId="77777777" w:rsidR="00294B40" w:rsidRPr="000C04FD" w:rsidRDefault="00294B40" w:rsidP="00F5665F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C04F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218 человек меньше, чем на 1 декабря 2019 года</w:t>
                            </w:r>
                          </w:p>
                          <w:p w14:paraId="59718770" w14:textId="77777777" w:rsidR="00294B40" w:rsidRPr="000C04FD" w:rsidRDefault="00294B40" w:rsidP="00F5665F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3.65pt;margin-top:24.55pt;width:472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14:paraId="6F4CEB08" w14:textId="77777777" w:rsidR="00294B40" w:rsidRPr="000C04FD" w:rsidRDefault="00294B40" w:rsidP="00F566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14:paraId="74E182AC" w14:textId="77777777" w:rsidR="00294B40" w:rsidRPr="000C04FD" w:rsidRDefault="00294B40" w:rsidP="00F566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14:paraId="0A5EE890" w14:textId="77777777" w:rsidR="00294B40" w:rsidRPr="000C04FD" w:rsidRDefault="00294B40" w:rsidP="00F566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0C04F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января 2020 года на учете в службе занятости населения </w:t>
                      </w:r>
                    </w:p>
                    <w:p w14:paraId="760C9B53" w14:textId="77777777" w:rsidR="00294B40" w:rsidRPr="000C04FD" w:rsidRDefault="00294B40" w:rsidP="00F566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0C04F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4953 человека, </w:t>
                      </w:r>
                      <w:proofErr w:type="gramStart"/>
                      <w:r w:rsidRPr="000C04F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0C04F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14:paraId="5CAFB623" w14:textId="77777777" w:rsidR="00294B40" w:rsidRPr="000C04FD" w:rsidRDefault="00294B40" w:rsidP="00F5665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5BEB47A3" w14:textId="77777777" w:rsidR="00294B40" w:rsidRPr="000C04FD" w:rsidRDefault="00294B40" w:rsidP="00F5665F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C04F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 364 человека больше, чем на 1 января 2019 года;</w:t>
                      </w:r>
                    </w:p>
                    <w:p w14:paraId="6C2819C5" w14:textId="77777777" w:rsidR="00294B40" w:rsidRPr="000C04FD" w:rsidRDefault="00294B40" w:rsidP="00F5665F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C04F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 218 человек меньше, чем на 1 декабря 2019 года</w:t>
                      </w:r>
                    </w:p>
                    <w:p w14:paraId="59718770" w14:textId="77777777" w:rsidR="00294B40" w:rsidRPr="000C04FD" w:rsidRDefault="00294B40" w:rsidP="00F5665F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1D656" w14:textId="77777777"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4E84835" w14:textId="77777777"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E26DE1D" w14:textId="77777777"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423D59B" w14:textId="77777777"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DC65156" w14:textId="77777777"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C2B024C" w14:textId="77777777"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6903DDF8" w14:textId="77777777"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467746B" w14:textId="77777777"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730163E7" w14:textId="77777777" w:rsidR="007C062A" w:rsidRDefault="00AB4A3D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14:paraId="17628F21" w14:textId="77777777" w:rsidR="004435E8" w:rsidRPr="004435E8" w:rsidRDefault="004435E8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3EC9126" w14:textId="77777777" w:rsidR="00A066E0" w:rsidRPr="00294B40" w:rsidRDefault="00A066E0" w:rsidP="00A0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января 2020 года зарегистрировано безработными 3742 человека, что на 692 человека больше, чем в начале января 2018 года (3050 человек).</w:t>
      </w:r>
    </w:p>
    <w:p w14:paraId="758917D2" w14:textId="77777777" w:rsidR="00A066E0" w:rsidRPr="00294B40" w:rsidRDefault="00A066E0" w:rsidP="00A0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2019 года на учет поставлено от 165 безработных граждан в Ломоносовском муниципальном районе (1,6% от общей численности зарегистрированных безработных граждан) до 1448 безработных граждан во Всеволожском муниципальном районе (13,7%). </w:t>
      </w:r>
    </w:p>
    <w:p w14:paraId="2763DC43" w14:textId="77777777" w:rsidR="00A066E0" w:rsidRPr="00294B40" w:rsidRDefault="00A066E0" w:rsidP="00A066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причинам с регистрационного учета сняты 28133 гражданина, из них 9904 человека имеющих официальный статус безработного.</w:t>
      </w:r>
      <w:proofErr w:type="gramEnd"/>
    </w:p>
    <w:p w14:paraId="3D05AB51" w14:textId="77777777" w:rsidR="00A066E0" w:rsidRPr="00294B40" w:rsidRDefault="00A066E0" w:rsidP="00A066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9904 безработных граждан снятых с </w:t>
      </w: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связи с:</w:t>
      </w:r>
    </w:p>
    <w:p w14:paraId="1D8A0603" w14:textId="77777777" w:rsidR="00A066E0" w:rsidRPr="00294B40" w:rsidRDefault="00A066E0" w:rsidP="00A066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3968 человек (40,1%);</w:t>
      </w:r>
    </w:p>
    <w:p w14:paraId="531574C9" w14:textId="77777777" w:rsidR="00A066E0" w:rsidRPr="00294B40" w:rsidRDefault="00A066E0" w:rsidP="00A066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1174 человека (11,8%);</w:t>
      </w:r>
    </w:p>
    <w:p w14:paraId="792E18BC" w14:textId="77777777" w:rsidR="00A066E0" w:rsidRPr="00294B40" w:rsidRDefault="00A066E0" w:rsidP="00A066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4762 человека (48,1%).</w:t>
      </w:r>
    </w:p>
    <w:p w14:paraId="7877DCB4" w14:textId="77777777" w:rsidR="00A066E0" w:rsidRPr="00294B40" w:rsidRDefault="00A066E0" w:rsidP="00A0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2020 года численность безработных граждан, зарегистрированных в службе занятости, </w:t>
      </w: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3742 человека, что на 692 человека больше, чем в начале 2019 года (3050 человек).  </w:t>
      </w:r>
    </w:p>
    <w:p w14:paraId="05F1FBE9" w14:textId="77777777" w:rsidR="00093455" w:rsidRPr="0095298E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2F59DCC8" w14:textId="4279F4B8" w:rsidR="007C062A" w:rsidRPr="001D5EFA" w:rsidRDefault="008D660C" w:rsidP="005B404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AE036B" wp14:editId="4F47C240">
            <wp:extent cx="6642340" cy="2803585"/>
            <wp:effectExtent l="0" t="0" r="25400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77B4E8" w14:textId="77777777" w:rsidR="000E5E5F" w:rsidRPr="00C278C6" w:rsidRDefault="000E5E5F" w:rsidP="00AF44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C63F05C" w14:textId="77777777" w:rsidR="00B35EF1" w:rsidRPr="00294B40" w:rsidRDefault="00B35EF1" w:rsidP="000934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610914E" w14:textId="77777777" w:rsidR="008D660C" w:rsidRPr="00294B40" w:rsidRDefault="008D660C" w:rsidP="008D66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численности безработных граждан к началу января  2020 года по сравнению              с началом 2019 года отмечено в </w:t>
      </w:r>
      <w:proofErr w:type="spell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Волховсом</w:t>
      </w:r>
      <w:proofErr w:type="spell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Сланцевском</w:t>
      </w:r>
      <w:proofErr w:type="spell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районах. Незначительное увеличение безработных граждан наблюдалось в 13 муниципальных районах и Сосновоборском городском округе.</w:t>
      </w:r>
    </w:p>
    <w:p w14:paraId="6EDC1233" w14:textId="77777777" w:rsidR="00C278C6" w:rsidRPr="0095298E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B31E06" w14:textId="77777777"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44330F15" w14:textId="77777777" w:rsidR="007C062A" w:rsidRPr="00B34328" w:rsidRDefault="007C062A" w:rsidP="006A7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14:paraId="3AF188A2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января 2020 года (3742 человека):</w:t>
      </w:r>
    </w:p>
    <w:p w14:paraId="5F13755C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3508 человек (93,7%), из них:</w:t>
      </w:r>
    </w:p>
    <w:p w14:paraId="088A2158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причинам прекращения трудовой деятельности:</w:t>
      </w:r>
    </w:p>
    <w:p w14:paraId="362DD50E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2139 человек (61%);</w:t>
      </w:r>
    </w:p>
    <w:p w14:paraId="17535ABF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459 человек (13,1%);</w:t>
      </w:r>
    </w:p>
    <w:p w14:paraId="73CD10FF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516 человек (14,7%);</w:t>
      </w:r>
    </w:p>
    <w:p w14:paraId="1D120F02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44 человека (1,3%).</w:t>
      </w:r>
      <w:proofErr w:type="gramEnd"/>
    </w:p>
    <w:p w14:paraId="58D689AE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3742 безработных гражданина:</w:t>
      </w:r>
    </w:p>
    <w:p w14:paraId="396CBCC4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821A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1B927BE7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18 человек (0,5%);</w:t>
      </w:r>
    </w:p>
    <w:p w14:paraId="5DA81872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75 человек (2%);</w:t>
      </w:r>
    </w:p>
    <w:p w14:paraId="14BEAADA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20-24 года – 220 человек (5,9%);</w:t>
      </w:r>
    </w:p>
    <w:p w14:paraId="71AD3413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241 человек (6,4%);</w:t>
      </w:r>
    </w:p>
    <w:p w14:paraId="1CB3B6AA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1910 человек (51%);</w:t>
      </w:r>
    </w:p>
    <w:p w14:paraId="357351AE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1278 человек (34,2%);</w:t>
      </w:r>
    </w:p>
    <w:p w14:paraId="24114359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821A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45517D95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1199 человек (32%);</w:t>
      </w:r>
    </w:p>
    <w:p w14:paraId="624B8535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1582 человека (42,3%);</w:t>
      </w: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0642386B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528 человек (14,1%);</w:t>
      </w:r>
    </w:p>
    <w:p w14:paraId="357B2582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395 человек (10,6%);</w:t>
      </w:r>
    </w:p>
    <w:p w14:paraId="505AAE63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38 человек (1%);</w:t>
      </w:r>
    </w:p>
    <w:p w14:paraId="41E0F4B7" w14:textId="77777777" w:rsidR="00A066E0" w:rsidRPr="00821A62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821A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6E18E7C5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родителей, имеющих несовершеннолетних детей, всего – 793 человека (21,2%);</w:t>
      </w:r>
    </w:p>
    <w:p w14:paraId="4C8061DC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 – 363 человека (9,7%);</w:t>
      </w:r>
    </w:p>
    <w:p w14:paraId="743700F9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</w:t>
      </w:r>
      <w:proofErr w:type="spellStart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– 920 человек (24,6%);</w:t>
      </w:r>
    </w:p>
    <w:p w14:paraId="7D2D384E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364 человека (9,7%);</w:t>
      </w:r>
    </w:p>
    <w:p w14:paraId="4AD5FF19" w14:textId="77777777" w:rsidR="00A066E0" w:rsidRPr="00294B40" w:rsidRDefault="00A066E0" w:rsidP="00A0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234 человека (6,3%).</w:t>
      </w:r>
    </w:p>
    <w:p w14:paraId="2EF6B58E" w14:textId="77777777" w:rsidR="00093455" w:rsidRPr="0095298E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99FCA5F" w14:textId="77777777"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14:paraId="12238AC9" w14:textId="77777777"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0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784"/>
        <w:gridCol w:w="222"/>
        <w:gridCol w:w="576"/>
        <w:gridCol w:w="864"/>
        <w:gridCol w:w="81"/>
        <w:gridCol w:w="808"/>
        <w:gridCol w:w="851"/>
        <w:gridCol w:w="112"/>
        <w:gridCol w:w="738"/>
        <w:gridCol w:w="992"/>
      </w:tblGrid>
      <w:tr w:rsidR="00A066E0" w:rsidRPr="00076E68" w14:paraId="324C1B7A" w14:textId="77777777" w:rsidTr="00105A69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F7F0C" w14:textId="77777777" w:rsidR="00A066E0" w:rsidRPr="008F314B" w:rsidRDefault="00A066E0" w:rsidP="0010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9BB1D" w14:textId="77777777" w:rsidR="00A066E0" w:rsidRPr="008F314B" w:rsidRDefault="00A066E0" w:rsidP="0010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C1384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56979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66E0" w:rsidRPr="00076E68" w14:paraId="01195F83" w14:textId="77777777" w:rsidTr="00105A69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6ECF7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D8ACE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3012F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14:paraId="1A916E0C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79381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2B133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4DC9A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FC914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1C287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0B313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7D42A74E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A066E0" w:rsidRPr="00076E68" w14:paraId="3622CCCF" w14:textId="77777777" w:rsidTr="00105A69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1E7F3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C3A6F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A7B82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0F322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C2F14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6CFEE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3CA1C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D562F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023E4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D9AFF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0192D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A066E0" w:rsidRPr="00076E68" w14:paraId="0661DC60" w14:textId="77777777" w:rsidTr="00105A69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E588" w14:textId="77777777" w:rsidR="00A066E0" w:rsidRPr="008F314B" w:rsidRDefault="00A066E0" w:rsidP="0010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D856B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4532D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7E878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E3EDA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E0364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F723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9AB18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58618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62069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61FE1" w14:textId="77777777" w:rsidR="00A066E0" w:rsidRPr="008F314B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66E0" w:rsidRPr="00076E68" w14:paraId="4FFCA53F" w14:textId="77777777" w:rsidTr="00105A69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F5FC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CBDB4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697A7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4C5C6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0A2F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76AF7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F60EC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F361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6D289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7CD2E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177B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1138</w:t>
            </w:r>
          </w:p>
        </w:tc>
      </w:tr>
      <w:tr w:rsidR="00A066E0" w:rsidRPr="00076E68" w14:paraId="4A5A0B8C" w14:textId="77777777" w:rsidTr="00105A69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C3A61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86292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A51E2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41295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9C2E9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23F6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B5A80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BBAF1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F6C3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8654E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358FF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066E0" w:rsidRPr="00076E68" w14:paraId="58847AA9" w14:textId="77777777" w:rsidTr="00105A69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9DCB0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43C2F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58E4C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0CE6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1D1E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5C27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3744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BD6F0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1879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C3E05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1132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</w:tr>
      <w:tr w:rsidR="00A066E0" w:rsidRPr="00076E68" w14:paraId="3F3497A9" w14:textId="77777777" w:rsidTr="00105A69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9AE1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CA2BF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C60B6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71289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F0BAE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D9F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ABF90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3CC81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95EDC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EA45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5CCB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A066E0" w:rsidRPr="00076E68" w14:paraId="2A116578" w14:textId="77777777" w:rsidTr="00105A69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B05E9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E9B7A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F7D60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98E7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C173F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8A74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5152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C84B8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C36BA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33AB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0681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A066E0" w:rsidRPr="00076E68" w14:paraId="2784FFBE" w14:textId="77777777" w:rsidTr="00105A69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E87EE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19F69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D52D8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FD7D3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8BB3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727E5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25C2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6F7F9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EC32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8DA62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EBF7D" w14:textId="77777777" w:rsidR="00A066E0" w:rsidRPr="00076E68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066E0" w:rsidRPr="00076E68" w14:paraId="7B85C25B" w14:textId="77777777" w:rsidTr="00105A69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3F3FE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41431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76920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8DBD9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6EAE6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E55F2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3D6F7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AA876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D6B78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A1B3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83854" w14:textId="77777777" w:rsidR="00A066E0" w:rsidRPr="00BD4652" w:rsidRDefault="00A066E0" w:rsidP="0010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</w:tr>
    </w:tbl>
    <w:p w14:paraId="7890068D" w14:textId="77777777" w:rsidR="00093455" w:rsidRPr="0095298E" w:rsidRDefault="00BA7724" w:rsidP="00BA77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298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3ADF411" w14:textId="07770568" w:rsidR="00A066E0" w:rsidRPr="00294B40" w:rsidRDefault="00A066E0" w:rsidP="00A0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периода безработицы в целом по Ленинградской области                   к началу января 2020 года сократилась – до 4,1 </w:t>
      </w:r>
      <w:r w:rsidR="00716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(в начале 2019 года – 4,3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14:paraId="68BA1D9C" w14:textId="77777777" w:rsidR="00093455" w:rsidRPr="0095298E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470EDA10" w14:textId="77777777" w:rsidR="00AB4A3D" w:rsidRPr="003D3522" w:rsidRDefault="00AB4A3D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1FD08356" w14:textId="77777777"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5C3B84" w14:textId="77777777" w:rsidR="00A066E0" w:rsidRPr="00294B40" w:rsidRDefault="00A066E0" w:rsidP="00A0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Ленинградской области на 01.01.2020 имел значение 0,36% (на 0,06 процентных пункта (далее – </w:t>
      </w: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выше, чем в начале 2019 года (0,30%).                  </w:t>
      </w:r>
    </w:p>
    <w:p w14:paraId="386419DC" w14:textId="77777777" w:rsidR="00A066E0" w:rsidRPr="00294B40" w:rsidRDefault="00A066E0" w:rsidP="00A06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января 2020 года – 0,36%, по территориям этот показатель имел значение: от 0,16% в Ломоносовском муниципальном районе до 0,81% в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14:paraId="7340DDC4" w14:textId="77777777" w:rsidR="00A066E0" w:rsidRPr="00294B40" w:rsidRDefault="00A066E0" w:rsidP="00A06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незначительного увеличения безработицы к началу января 2020 года наблюдалась в 13 муниципальных районах и</w:t>
      </w:r>
      <w:r w:rsidRPr="00294B40">
        <w:t xml:space="preserve"> 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Сосновоборском городском округе. Снижение уровня регистрируемой безработицы отмечено в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Волховсом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районах.</w:t>
      </w:r>
    </w:p>
    <w:p w14:paraId="1A88A809" w14:textId="77777777" w:rsidR="00A066E0" w:rsidRPr="00294B40" w:rsidRDefault="00A066E0" w:rsidP="00A066E0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14:paraId="07A3101A" w14:textId="77777777" w:rsidR="00A066E0" w:rsidRPr="00294B40" w:rsidRDefault="00A066E0" w:rsidP="00A066E0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01.01.2020 в Калужской, Липецкой, Нижегородской, Ханты-Мансийском АО, </w:t>
      </w:r>
      <w:proofErr w:type="spell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этот показатель – 0,4%, в г. Севастополе – 0,2%.</w:t>
      </w:r>
    </w:p>
    <w:p w14:paraId="0E0F72F6" w14:textId="52E9A5AE" w:rsidR="007C062A" w:rsidRDefault="00A066E0" w:rsidP="005738A3">
      <w:pPr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85E8D6" wp14:editId="4FEFD019">
            <wp:extent cx="6773875" cy="2589581"/>
            <wp:effectExtent l="0" t="0" r="27305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76E7B6A" w14:textId="77777777"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44817AC9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3650435E" w14:textId="77777777"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353887" w14:textId="71572E2A" w:rsidR="003E644E" w:rsidRPr="00294B40" w:rsidRDefault="00F14DC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E644E"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</w:t>
      </w:r>
      <w:r w:rsidR="0099040F"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E644E"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</w:t>
      </w:r>
      <w:r w:rsidR="0099040F"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44E"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важных направлений деятельности службы занятости. </w:t>
      </w:r>
    </w:p>
    <w:p w14:paraId="54C6628A" w14:textId="77777777" w:rsidR="003E644E" w:rsidRPr="00294B40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59BF3D9E" w14:textId="2BFA54F4" w:rsidR="003E644E" w:rsidRPr="00294B40" w:rsidRDefault="0099040F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работодателями: </w:t>
      </w:r>
    </w:p>
    <w:p w14:paraId="18ABCF69" w14:textId="37E2DA84" w:rsidR="003E644E" w:rsidRPr="00294B40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99040F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86356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</w:t>
      </w:r>
      <w:r w:rsidR="00F14DC5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ваканси</w:t>
      </w:r>
      <w:r w:rsidR="00F14DC5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40B009" w14:textId="7CC0319A" w:rsidR="003E644E" w:rsidRPr="00294B40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</w:t>
      </w:r>
      <w:r w:rsidR="0099040F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86156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вакансий. </w:t>
      </w:r>
    </w:p>
    <w:p w14:paraId="56AE0848" w14:textId="77777777" w:rsidR="003E644E" w:rsidRPr="00294B40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6D80A924" w14:textId="44E8A9BA" w:rsidR="003E644E" w:rsidRPr="00294B40" w:rsidRDefault="003A36D1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13309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15,4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14:paraId="7BE5B4FF" w14:textId="2D723ED0" w:rsidR="003E644E" w:rsidRPr="00294B40" w:rsidRDefault="00001FB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7326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20,1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государственной формы собственности;</w:t>
      </w:r>
    </w:p>
    <w:p w14:paraId="365DA2A2" w14:textId="30BAF7B1" w:rsidR="003E644E" w:rsidRPr="00294B40" w:rsidRDefault="003A36D1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55721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64,5</w:t>
      </w:r>
      <w:r w:rsidR="003E644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других форм собственности.</w:t>
      </w:r>
    </w:p>
    <w:p w14:paraId="4134EE67" w14:textId="77637AAF" w:rsidR="00001FBE" w:rsidRPr="00294B40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составил 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19515</w:t>
      </w: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</w:t>
      </w:r>
      <w:r w:rsidR="00001FBE" w:rsidRPr="00294B40">
        <w:rPr>
          <w:sz w:val="28"/>
          <w:szCs w:val="28"/>
        </w:rPr>
        <w:t xml:space="preserve"> 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 больше, чем в начале 2019 года (19315 вакансий).</w:t>
      </w:r>
    </w:p>
    <w:p w14:paraId="7F7538C6" w14:textId="3A96F533" w:rsidR="00D93BA6" w:rsidRPr="00B35EF1" w:rsidRDefault="003E644E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территориям заявленные вакансии распределились следующим образом: 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(1,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на рабочую силу) </w:t>
      </w:r>
      <w:proofErr w:type="gramStart"/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2562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3A36D1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>13,1</w:t>
      </w:r>
      <w:r w:rsidR="00001FBE" w:rsidRPr="0029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во Всеволожском муниципальном районе. </w:t>
      </w:r>
    </w:p>
    <w:p w14:paraId="4F1007CE" w14:textId="49507A43" w:rsidR="00D93BA6" w:rsidRPr="0095298E" w:rsidRDefault="00D93BA6" w:rsidP="00D93B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350837B0" w14:textId="73A79ECC" w:rsidR="00D93BA6" w:rsidRPr="005841EC" w:rsidRDefault="00A066E0" w:rsidP="00A066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83F279" wp14:editId="5156846A">
            <wp:extent cx="6444691" cy="2735885"/>
            <wp:effectExtent l="0" t="0" r="13335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011649" w14:textId="77777777" w:rsidR="00556EB4" w:rsidRDefault="00556EB4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174D2A37" w14:textId="0BB28672" w:rsidR="00880490" w:rsidRPr="0095298E" w:rsidRDefault="003E644E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646F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19515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вакансии (текущий спрос) для трудоустройства рабочих предлагались 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46F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3809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2646F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70,8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для инженерно-технических работников </w:t>
      </w:r>
      <w:r w:rsidR="00B35EF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служащих – </w:t>
      </w:r>
      <w:r w:rsidR="002646F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5706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2646F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29,2</w:t>
      </w:r>
      <w:r w:rsidR="0088049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EE86335" w14:textId="77777777" w:rsidR="002646FA" w:rsidRPr="0095298E" w:rsidRDefault="00880490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отраслей экономики, наибольшую потребность в кадрах испытывала сфера </w:t>
      </w:r>
      <w:r w:rsidR="002646F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«обрабатывающие производства» – 5375 вакансий (27,5% от общего числа вакансий – 19515 единиц), далее по видам экономической деятельности: </w:t>
      </w:r>
    </w:p>
    <w:p w14:paraId="543297D5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2765 вакансий (14,2%);</w:t>
      </w:r>
    </w:p>
    <w:p w14:paraId="33F7AD55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1680 вакансий (8,6%);</w:t>
      </w:r>
    </w:p>
    <w:p w14:paraId="3FC15F62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1454 вакансии (7,5%);</w:t>
      </w:r>
    </w:p>
    <w:p w14:paraId="787513B5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1315 вакансий (6,7%);</w:t>
      </w:r>
    </w:p>
    <w:p w14:paraId="3E81F02E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1237 вакансий (6,3%);</w:t>
      </w:r>
    </w:p>
    <w:p w14:paraId="19E7DE12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941 вакансия (4,8%);</w:t>
      </w:r>
    </w:p>
    <w:p w14:paraId="6F3F0558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835 вакансий (4,3%);</w:t>
      </w:r>
    </w:p>
    <w:p w14:paraId="5FBCF2A2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834 вакансии (4,3%);</w:t>
      </w:r>
    </w:p>
    <w:p w14:paraId="6EB51FD1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721 вакансия (3,7%);</w:t>
      </w:r>
    </w:p>
    <w:p w14:paraId="35929581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426 вакансий (2,2%);</w:t>
      </w:r>
    </w:p>
    <w:p w14:paraId="537E4403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391 вакансия (2%);</w:t>
      </w:r>
    </w:p>
    <w:p w14:paraId="2E04123D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369 вакансий (1,9%);</w:t>
      </w:r>
    </w:p>
    <w:p w14:paraId="6D3C7E42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353 вакансии (1,8%);</w:t>
      </w:r>
    </w:p>
    <w:p w14:paraId="44C48A7C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299 вакансий (1,5%);</w:t>
      </w:r>
    </w:p>
    <w:p w14:paraId="43018F16" w14:textId="77777777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194 вакансии (1%);</w:t>
      </w:r>
    </w:p>
    <w:p w14:paraId="2DDB293E" w14:textId="1CAF9AB6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181 вакансия (0,9%) и т.д.</w:t>
      </w:r>
    </w:p>
    <w:p w14:paraId="5734A1C6" w14:textId="0F5816C2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8158 вакансий (41,8% от текущего спроса на рабочую силу). Предложение рабочей силы по этой группе профессий в 6,8 раза меньше. </w:t>
      </w:r>
    </w:p>
    <w:p w14:paraId="40AFC9A2" w14:textId="77777777" w:rsidR="00880490" w:rsidRPr="0095298E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-123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64186" w:rsidRPr="0095298E" w14:paraId="6ED3DCFA" w14:textId="77777777" w:rsidTr="0043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14:paraId="52D7868B" w14:textId="77777777" w:rsidR="002646FA" w:rsidRPr="0095298E" w:rsidRDefault="002646FA" w:rsidP="002646FA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водитель – 1577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14:paraId="315166E7" w14:textId="77777777" w:rsidR="002646FA" w:rsidRPr="0095298E" w:rsidRDefault="002646FA" w:rsidP="002646FA">
            <w:pPr>
              <w:spacing w:before="0" w:beforeAutospacing="0" w:after="0" w:afterAutospac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электромонтажник – 308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14:paraId="1AE56EAF" w14:textId="77777777" w:rsidR="002646FA" w:rsidRPr="0095298E" w:rsidRDefault="002646FA" w:rsidP="002646FA">
            <w:pPr>
              <w:spacing w:before="0" w:beforeAutospacing="0" w:after="0" w:afterAutospac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каменщик – 141</w:t>
            </w:r>
          </w:p>
        </w:tc>
      </w:tr>
      <w:tr w:rsidR="00864186" w:rsidRPr="0095298E" w14:paraId="512D2C50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0D165DF" w14:textId="77777777" w:rsidR="002646FA" w:rsidRPr="0095298E" w:rsidRDefault="002646FA" w:rsidP="002646F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слесарь – 1188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C3DEA04" w14:textId="77777777" w:rsidR="002646FA" w:rsidRPr="0095298E" w:rsidRDefault="002646FA" w:rsidP="002646F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электрик, электромонтер – 274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E47524D" w14:textId="77777777" w:rsidR="002646FA" w:rsidRPr="0095298E" w:rsidRDefault="002646FA" w:rsidP="002646F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станочник – 136</w:t>
            </w:r>
          </w:p>
        </w:tc>
      </w:tr>
      <w:tr w:rsidR="00864186" w:rsidRPr="0095298E" w14:paraId="31149222" w14:textId="77777777" w:rsidTr="0043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D09D8D2" w14:textId="77777777" w:rsidR="002646FA" w:rsidRPr="0095298E" w:rsidRDefault="002646FA" w:rsidP="002646F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швея – 888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DCFCF60" w14:textId="77777777" w:rsidR="002646FA" w:rsidRPr="0095298E" w:rsidRDefault="002646FA" w:rsidP="002646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маляр, штукатур – 269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8535C9B" w14:textId="77777777" w:rsidR="002646FA" w:rsidRPr="0095298E" w:rsidRDefault="002646FA" w:rsidP="002646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токарь – 112</w:t>
            </w:r>
          </w:p>
        </w:tc>
      </w:tr>
      <w:tr w:rsidR="00864186" w:rsidRPr="0095298E" w14:paraId="5376707B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7D36E483" w14:textId="77777777" w:rsidR="002646FA" w:rsidRPr="0095298E" w:rsidRDefault="002646FA" w:rsidP="002646F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оператор – 739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DE95E57" w14:textId="77777777" w:rsidR="002646FA" w:rsidRPr="0095298E" w:rsidRDefault="002646FA" w:rsidP="002646F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продавец – 255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CD506E6" w14:textId="77777777" w:rsidR="002646FA" w:rsidRPr="0095298E" w:rsidRDefault="002646FA" w:rsidP="002646F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плотник – 64</w:t>
            </w:r>
          </w:p>
        </w:tc>
      </w:tr>
      <w:tr w:rsidR="00864186" w:rsidRPr="0095298E" w14:paraId="616C9FBA" w14:textId="77777777" w:rsidTr="0043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1C6111A" w14:textId="77777777" w:rsidR="002646FA" w:rsidRPr="0095298E" w:rsidRDefault="002646FA" w:rsidP="002646F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 xml:space="preserve"> – 677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68AD3EF" w14:textId="77777777" w:rsidR="002646FA" w:rsidRPr="0095298E" w:rsidRDefault="002646FA" w:rsidP="002646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стропальщик – 194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36F1483A" w14:textId="77777777" w:rsidR="002646FA" w:rsidRPr="0095298E" w:rsidRDefault="002646FA" w:rsidP="002646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электросварщик – 57</w:t>
            </w:r>
          </w:p>
        </w:tc>
      </w:tr>
      <w:tr w:rsidR="00864186" w:rsidRPr="0095298E" w14:paraId="6ED6BF74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F38876D" w14:textId="77777777" w:rsidR="002646FA" w:rsidRPr="0095298E" w:rsidRDefault="002646FA" w:rsidP="002646F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тракторист – 498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6B026CE" w14:textId="77777777" w:rsidR="002646FA" w:rsidRPr="0095298E" w:rsidRDefault="002646FA" w:rsidP="002646F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повар – 182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ECD8E3E" w14:textId="77777777" w:rsidR="002646FA" w:rsidRPr="0095298E" w:rsidRDefault="002646FA" w:rsidP="002646F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сварщик – 14</w:t>
            </w:r>
          </w:p>
        </w:tc>
      </w:tr>
      <w:tr w:rsidR="00864186" w:rsidRPr="0095298E" w14:paraId="777714B6" w14:textId="77777777" w:rsidTr="0043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3F7BCAAA" w14:textId="77777777" w:rsidR="002646FA" w:rsidRPr="0095298E" w:rsidRDefault="002646FA" w:rsidP="002646F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машинист – 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0B1AA976" w14:textId="77777777" w:rsidR="002646FA" w:rsidRPr="0095298E" w:rsidRDefault="002646FA" w:rsidP="002646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монтажник – 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8E3D535" w14:textId="77777777" w:rsidR="002646FA" w:rsidRPr="0095298E" w:rsidRDefault="002646FA" w:rsidP="002646F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</w:p>
        </w:tc>
      </w:tr>
    </w:tbl>
    <w:p w14:paraId="21229A53" w14:textId="77777777" w:rsidR="00880490" w:rsidRPr="0095298E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177A666" w14:textId="60A3E811" w:rsidR="002646FA" w:rsidRPr="0095298E" w:rsidRDefault="002646FA" w:rsidP="0026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3588 вакансий (18,4% от текущего спроса на рабочую силу). Предложение рабочей силы по этой группе профессий в 4,4 раза больше.</w:t>
      </w:r>
    </w:p>
    <w:p w14:paraId="29299B8D" w14:textId="77777777" w:rsidR="00880490" w:rsidRPr="0095298E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24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3544"/>
        <w:gridCol w:w="284"/>
        <w:gridCol w:w="2267"/>
      </w:tblGrid>
      <w:tr w:rsidR="00864186" w:rsidRPr="0095298E" w14:paraId="6D0382F4" w14:textId="77777777" w:rsidTr="0043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il"/>
            </w:tcBorders>
            <w:shd w:val="clear" w:color="auto" w:fill="F3F7FB"/>
            <w:hideMark/>
          </w:tcPr>
          <w:p w14:paraId="52691982" w14:textId="77777777" w:rsidR="00431DAE" w:rsidRPr="0095298E" w:rsidRDefault="00431DAE" w:rsidP="00431DAE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военнослужащий – 599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3F7FB"/>
            <w:hideMark/>
          </w:tcPr>
          <w:p w14:paraId="25046CFD" w14:textId="77777777" w:rsidR="00431DAE" w:rsidRPr="0095298E" w:rsidRDefault="00431DAE" w:rsidP="00431DAE">
            <w:pPr>
              <w:spacing w:before="0" w:beforeAutospacing="0" w:after="0" w:afterAutospac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фельдшер – 158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3F7FB"/>
            <w:hideMark/>
          </w:tcPr>
          <w:p w14:paraId="35D5FACE" w14:textId="77777777" w:rsidR="00431DAE" w:rsidRPr="0095298E" w:rsidRDefault="00431DAE" w:rsidP="00431DAE">
            <w:pPr>
              <w:spacing w:before="0" w:beforeAutospacing="0" w:after="0" w:afterAutospacing="0"/>
              <w:ind w:left="34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инспектор – 63</w:t>
            </w:r>
          </w:p>
        </w:tc>
      </w:tr>
      <w:tr w:rsidR="00864186" w:rsidRPr="0095298E" w14:paraId="34B3E3D2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AC3CDD7" w14:textId="77777777" w:rsidR="00431DAE" w:rsidRPr="0095298E" w:rsidRDefault="00431DAE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врач – 484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4BC8D0C" w14:textId="77777777" w:rsidR="00431DAE" w:rsidRPr="0095298E" w:rsidRDefault="00431DAE" w:rsidP="00431DA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полицейский (следователь) – 113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07BB3F7" w14:textId="77777777" w:rsidR="00431DAE" w:rsidRPr="0095298E" w:rsidRDefault="00431DAE" w:rsidP="00431DAE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воспитатель – 60</w:t>
            </w:r>
          </w:p>
        </w:tc>
      </w:tr>
      <w:tr w:rsidR="00864186" w:rsidRPr="0095298E" w14:paraId="51231E13" w14:textId="77777777" w:rsidTr="00431D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437C800" w14:textId="77777777" w:rsidR="00431DAE" w:rsidRPr="0095298E" w:rsidRDefault="00431DAE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инженер – 481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B00AA9A" w14:textId="77777777" w:rsidR="00431DAE" w:rsidRPr="0095298E" w:rsidRDefault="00431DAE" w:rsidP="00431D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менеджер – 107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39DA081" w14:textId="77777777" w:rsidR="00431DAE" w:rsidRPr="0095298E" w:rsidRDefault="00431DAE" w:rsidP="00431DAE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механик – 57</w:t>
            </w:r>
          </w:p>
        </w:tc>
      </w:tr>
      <w:tr w:rsidR="00864186" w:rsidRPr="0095298E" w14:paraId="558FFD2C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B4594FF" w14:textId="77777777" w:rsidR="00431DAE" w:rsidRPr="0095298E" w:rsidRDefault="00431DAE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педагог (преподаватель, учитель) – 283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771C929" w14:textId="77777777" w:rsidR="00431DAE" w:rsidRPr="0095298E" w:rsidRDefault="00431DAE" w:rsidP="00431DA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техник – 100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733F1184" w14:textId="77777777" w:rsidR="00431DAE" w:rsidRPr="0095298E" w:rsidRDefault="00431DAE" w:rsidP="00431DAE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администратор – 56</w:t>
            </w:r>
          </w:p>
        </w:tc>
      </w:tr>
      <w:tr w:rsidR="00864186" w:rsidRPr="0095298E" w14:paraId="24B890D7" w14:textId="77777777" w:rsidTr="00431D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FF0635E" w14:textId="77777777" w:rsidR="00431DAE" w:rsidRPr="0095298E" w:rsidRDefault="00431DAE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медицинская сестра – 273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420D396" w14:textId="77777777" w:rsidR="00431DAE" w:rsidRPr="0095298E" w:rsidRDefault="00431DAE" w:rsidP="00431D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кассир – 96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A61CB14" w14:textId="77777777" w:rsidR="00431DAE" w:rsidRPr="0095298E" w:rsidRDefault="00431DAE" w:rsidP="00431DAE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технолог – 36</w:t>
            </w:r>
          </w:p>
        </w:tc>
      </w:tr>
      <w:tr w:rsidR="00864186" w:rsidRPr="0095298E" w14:paraId="7629BEF2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7994206" w14:textId="77777777" w:rsidR="00431DAE" w:rsidRPr="0095298E" w:rsidRDefault="00431DAE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агент – 264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D86C9AE" w14:textId="77777777" w:rsidR="00431DAE" w:rsidRPr="0095298E" w:rsidRDefault="00431DAE" w:rsidP="00431DA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 xml:space="preserve">мастер – 96 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6F3E876" w14:textId="77777777" w:rsidR="00431DAE" w:rsidRPr="0095298E" w:rsidRDefault="00431DAE" w:rsidP="00431DAE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экономист – 19</w:t>
            </w:r>
          </w:p>
        </w:tc>
      </w:tr>
      <w:tr w:rsidR="00864186" w:rsidRPr="0095298E" w14:paraId="1FEF8CE9" w14:textId="77777777" w:rsidTr="00431DA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3A8F4014" w14:textId="77777777" w:rsidR="00431DAE" w:rsidRPr="0095298E" w:rsidRDefault="00431DAE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охранник – 179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249A03FA" w14:textId="77777777" w:rsidR="00431DAE" w:rsidRPr="0095298E" w:rsidRDefault="00431DAE" w:rsidP="00431D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бухгалтер – 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439756F3" w14:textId="77777777" w:rsidR="00431DAE" w:rsidRPr="0095298E" w:rsidRDefault="00431DAE" w:rsidP="00431D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</w:p>
        </w:tc>
      </w:tr>
    </w:tbl>
    <w:p w14:paraId="7F22C121" w14:textId="77777777" w:rsidR="0095298E" w:rsidRPr="0095298E" w:rsidRDefault="0095298E" w:rsidP="00431D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AC627B" w14:textId="67FCE44B" w:rsidR="00431DAE" w:rsidRPr="0095298E" w:rsidRDefault="00431DAE" w:rsidP="00431D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20 наименованиям наиболее востребованных профессий этой группы заявлено 2540 вакансий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(13% от текущего спроса на рабочую силу). Предложение рабочей силы по этой группе профессий в 4,3 раза меньше.</w:t>
      </w:r>
    </w:p>
    <w:p w14:paraId="67386D0A" w14:textId="77777777" w:rsidR="00431DAE" w:rsidRPr="0095298E" w:rsidRDefault="00431DAE" w:rsidP="00431D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5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64186" w:rsidRPr="0095298E" w14:paraId="1B488FFB" w14:textId="77777777" w:rsidTr="0043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14:paraId="7ABC0CEB" w14:textId="77777777" w:rsidR="00431DAE" w:rsidRPr="0095298E" w:rsidRDefault="00431DAE" w:rsidP="00431DA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рабочие (включая подсобных рабочих, кухонных рабочих, дорожных рабочих, рабочих) – 824</w:t>
            </w:r>
          </w:p>
        </w:tc>
      </w:tr>
      <w:tr w:rsidR="00864186" w:rsidRPr="0095298E" w14:paraId="62F8DD33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9C8465B" w14:textId="77777777" w:rsidR="00F41D7A" w:rsidRPr="0095298E" w:rsidRDefault="00F41D7A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стрелок – 530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3FF76A" w14:textId="1AC2A6EB" w:rsidR="00F41D7A" w:rsidRPr="0095298E" w:rsidRDefault="00F41D7A" w:rsidP="00431DAE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дворник – 73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355A1" w14:textId="1A60551A" w:rsidR="00F41D7A" w:rsidRPr="0095298E" w:rsidRDefault="00F41D7A" w:rsidP="00431DA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горничная – 21</w:t>
            </w:r>
          </w:p>
        </w:tc>
      </w:tr>
      <w:tr w:rsidR="00864186" w:rsidRPr="0095298E" w14:paraId="27F340E4" w14:textId="77777777" w:rsidTr="0043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04AD3F5" w14:textId="77777777" w:rsidR="00F41D7A" w:rsidRPr="0095298E" w:rsidRDefault="00F41D7A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уборщик – 434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51B21D18" w14:textId="7EF16688" w:rsidR="00F41D7A" w:rsidRPr="0095298E" w:rsidRDefault="00F41D7A" w:rsidP="00431DA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кладовщик – 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3912F950" w14:textId="7CAD85AE" w:rsidR="00F41D7A" w:rsidRPr="0095298E" w:rsidRDefault="00F41D7A" w:rsidP="00431D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 xml:space="preserve">сортировщик </w:t>
            </w: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– 15</w:t>
            </w:r>
          </w:p>
        </w:tc>
      </w:tr>
      <w:tr w:rsidR="00864186" w:rsidRPr="0095298E" w14:paraId="6B838C0B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A0D219A" w14:textId="77777777" w:rsidR="00F41D7A" w:rsidRPr="0095298E" w:rsidRDefault="00F41D7A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мойщик – 113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CEE252" w14:textId="0DF7626D" w:rsidR="00F41D7A" w:rsidRPr="0095298E" w:rsidRDefault="00F41D7A" w:rsidP="00431DA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обработчик – 60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CD214E" w14:textId="27EE701B" w:rsidR="00F41D7A" w:rsidRPr="0095298E" w:rsidRDefault="00F41D7A" w:rsidP="00431D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санитар – 13</w:t>
            </w:r>
          </w:p>
        </w:tc>
      </w:tr>
      <w:tr w:rsidR="00864186" w:rsidRPr="0095298E" w14:paraId="2355DE50" w14:textId="77777777" w:rsidTr="0043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30A0729D" w14:textId="77777777" w:rsidR="00F41D7A" w:rsidRPr="0095298E" w:rsidRDefault="00F41D7A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укладчик (упаковщик) – 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1659CB2D" w14:textId="00BCA2A1" w:rsidR="00F41D7A" w:rsidRPr="0095298E" w:rsidRDefault="00F41D7A" w:rsidP="00431DA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животновод</w:t>
            </w: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 xml:space="preserve"> – 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DD44488" w14:textId="014F7415" w:rsidR="00F41D7A" w:rsidRPr="0095298E" w:rsidRDefault="00F41D7A" w:rsidP="00431D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>почтальон – 13</w:t>
            </w:r>
          </w:p>
        </w:tc>
      </w:tr>
      <w:tr w:rsidR="00864186" w:rsidRPr="0095298E" w14:paraId="2220D8BE" w14:textId="77777777" w:rsidTr="0043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03E72CA" w14:textId="7ADAE81D" w:rsidR="00F41D7A" w:rsidRPr="0095298E" w:rsidRDefault="00F41D7A" w:rsidP="00F41D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грузчик – 100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C66D0C" w14:textId="5FB7A75E" w:rsidR="00F41D7A" w:rsidRPr="0095298E" w:rsidRDefault="00F41D7A" w:rsidP="00431DA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овощевод</w:t>
            </w: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 xml:space="preserve"> – 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525201" w14:textId="64360246" w:rsidR="00F41D7A" w:rsidRPr="0095298E" w:rsidRDefault="00F41D7A" w:rsidP="00431D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</w:p>
        </w:tc>
      </w:tr>
      <w:tr w:rsidR="00864186" w:rsidRPr="0095298E" w14:paraId="74D784BC" w14:textId="77777777" w:rsidTr="00F41D7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6127A579" w14:textId="22260A04" w:rsidR="00F41D7A" w:rsidRPr="0095298E" w:rsidRDefault="00F41D7A" w:rsidP="00431DA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 w:val="0"/>
                <w:color w:val="auto"/>
                <w:sz w:val="23"/>
                <w:szCs w:val="23"/>
                <w:lang w:eastAsia="ru-RU"/>
              </w:rPr>
              <w:t>монтер пути – 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4903F27E" w14:textId="0ABDD3CC" w:rsidR="00F41D7A" w:rsidRPr="0095298E" w:rsidRDefault="00F41D7A" w:rsidP="00431DA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  <w:r w:rsidRPr="0095298E"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  <w:t xml:space="preserve">сторож (вахтер) </w:t>
            </w:r>
            <w:r w:rsidRPr="0095298E">
              <w:rPr>
                <w:rFonts w:ascii="Times New Roman" w:eastAsia="Times New Roman" w:hAnsi="Times New Roman"/>
                <w:color w:val="auto"/>
                <w:sz w:val="23"/>
                <w:szCs w:val="23"/>
                <w:lang w:eastAsia="ru-RU"/>
              </w:rPr>
              <w:t>–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377A95F4" w14:textId="77777777" w:rsidR="00F41D7A" w:rsidRPr="0095298E" w:rsidRDefault="00F41D7A" w:rsidP="00431D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3"/>
                <w:szCs w:val="23"/>
                <w:lang w:eastAsia="ru-RU"/>
              </w:rPr>
            </w:pPr>
          </w:p>
        </w:tc>
      </w:tr>
    </w:tbl>
    <w:p w14:paraId="0B0C0B00" w14:textId="77777777" w:rsidR="00431DAE" w:rsidRPr="0095298E" w:rsidRDefault="00431DAE" w:rsidP="0043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257F75" w14:textId="63EA8877" w:rsidR="003E644E" w:rsidRPr="0095298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F41D7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19515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41762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976DAA" w14:textId="308CCAC0" w:rsidR="003E644E" w:rsidRPr="0095298E" w:rsidRDefault="0041762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084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4902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25,1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                             и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3529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173B37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69,3</w:t>
      </w:r>
      <w:r w:rsidR="003E644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14:paraId="2256FB82" w14:textId="77777777" w:rsidR="00C03531" w:rsidRPr="0095298E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FB8184" w14:textId="77777777" w:rsidR="00C03531" w:rsidRPr="00E15DC4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14:paraId="34A4963F" w14:textId="77777777" w:rsidR="00C03531" w:rsidRPr="003575EB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2924BAF1" w14:textId="1A72B063" w:rsidR="00C03531" w:rsidRPr="0095298E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</w:t>
      </w:r>
      <w:r w:rsidR="00481926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572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481926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24710B" w14:textId="70D25E99" w:rsidR="00C03531" w:rsidRPr="0095298E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481926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16338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6E115D07" w14:textId="6F6ADCDF" w:rsidR="00C03531" w:rsidRPr="0095298E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</w:t>
      </w:r>
      <w:r w:rsidR="003467E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ужбу занятост</w:t>
      </w:r>
      <w:r w:rsidR="0009345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населения) – </w:t>
      </w:r>
      <w:r w:rsidR="00481926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57,4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2B2AD1ED" w14:textId="50B1E47B" w:rsidR="00093455" w:rsidRPr="0095298E" w:rsidRDefault="00C03531" w:rsidP="00C0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345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D1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филиалах</w:t>
      </w:r>
      <w:r w:rsidRPr="0095298E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95298E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95298E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</w:p>
    <w:p w14:paraId="46B6935F" w14:textId="74EF8824" w:rsidR="00221AB6" w:rsidRPr="0095298E" w:rsidRDefault="00093455" w:rsidP="00093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98E">
        <w:rPr>
          <w:rFonts w:ascii="Times New Roman" w:eastAsia="Calibri" w:hAnsi="Times New Roman" w:cs="Times New Roman"/>
          <w:sz w:val="24"/>
          <w:szCs w:val="24"/>
        </w:rPr>
        <w:t>Приозерском (</w:t>
      </w:r>
      <w:r w:rsidR="00221AB6" w:rsidRPr="0095298E">
        <w:rPr>
          <w:rFonts w:ascii="Times New Roman" w:eastAsia="Calibri" w:hAnsi="Times New Roman" w:cs="Times New Roman"/>
          <w:sz w:val="24"/>
          <w:szCs w:val="24"/>
        </w:rPr>
        <w:t>77,1</w:t>
      </w:r>
      <w:r w:rsidRPr="0095298E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221AB6" w:rsidRPr="0095298E">
        <w:rPr>
          <w:rFonts w:ascii="Times New Roman" w:eastAsia="Calibri" w:hAnsi="Times New Roman" w:cs="Times New Roman"/>
          <w:sz w:val="24"/>
          <w:szCs w:val="24"/>
        </w:rPr>
        <w:t xml:space="preserve">Сосновоборском (70,3%), Выборгском (77%), Ломоносовском (68,7%), </w:t>
      </w:r>
      <w:proofErr w:type="spellStart"/>
      <w:r w:rsidR="00221AB6" w:rsidRPr="0095298E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221AB6" w:rsidRPr="0095298E">
        <w:rPr>
          <w:rFonts w:ascii="Times New Roman" w:eastAsia="Calibri" w:hAnsi="Times New Roman" w:cs="Times New Roman"/>
          <w:sz w:val="24"/>
          <w:szCs w:val="24"/>
        </w:rPr>
        <w:t xml:space="preserve"> (67,4%), </w:t>
      </w:r>
      <w:proofErr w:type="spellStart"/>
      <w:r w:rsidR="00221AB6" w:rsidRPr="0095298E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="00221AB6" w:rsidRPr="0095298E">
        <w:rPr>
          <w:rFonts w:ascii="Times New Roman" w:eastAsia="Calibri" w:hAnsi="Times New Roman" w:cs="Times New Roman"/>
          <w:sz w:val="24"/>
          <w:szCs w:val="24"/>
        </w:rPr>
        <w:t xml:space="preserve"> (62,1%), </w:t>
      </w:r>
      <w:proofErr w:type="spellStart"/>
      <w:r w:rsidR="00221AB6" w:rsidRPr="0095298E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="00221AB6" w:rsidRPr="0095298E">
        <w:rPr>
          <w:rFonts w:ascii="Times New Roman" w:eastAsia="Calibri" w:hAnsi="Times New Roman" w:cs="Times New Roman"/>
          <w:sz w:val="24"/>
          <w:szCs w:val="24"/>
        </w:rPr>
        <w:t xml:space="preserve"> (61,8%), Кировском (61,5%), </w:t>
      </w:r>
      <w:proofErr w:type="spellStart"/>
      <w:r w:rsidR="00221AB6" w:rsidRPr="0095298E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221AB6" w:rsidRPr="0095298E">
        <w:rPr>
          <w:rFonts w:ascii="Times New Roman" w:eastAsia="Calibri" w:hAnsi="Times New Roman" w:cs="Times New Roman"/>
          <w:sz w:val="24"/>
          <w:szCs w:val="24"/>
        </w:rPr>
        <w:t xml:space="preserve"> (64%), </w:t>
      </w:r>
      <w:r w:rsidR="000D121C" w:rsidRPr="0095298E">
        <w:rPr>
          <w:rFonts w:ascii="Times New Roman" w:eastAsia="Calibri" w:hAnsi="Times New Roman" w:cs="Times New Roman"/>
          <w:sz w:val="24"/>
          <w:szCs w:val="24"/>
        </w:rPr>
        <w:t>Бокситогорском (57,6%), Всеволожском (50,8%).</w:t>
      </w:r>
      <w:proofErr w:type="gramEnd"/>
    </w:p>
    <w:p w14:paraId="1878F680" w14:textId="094CDD1C" w:rsidR="00C03531" w:rsidRPr="0095298E" w:rsidRDefault="0041637B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Calibri" w:hAnsi="Times New Roman" w:cs="Times New Roman"/>
          <w:sz w:val="24"/>
          <w:szCs w:val="24"/>
        </w:rPr>
        <w:t>Важно, что 75,7</w:t>
      </w:r>
      <w:r w:rsidR="00C03531" w:rsidRPr="0095298E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73955926" w14:textId="77777777" w:rsidR="00C03531" w:rsidRPr="0095298E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438A000A" w14:textId="02965C02" w:rsidR="00057D58" w:rsidRPr="0095298E" w:rsidRDefault="004F35DE" w:rsidP="0005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10147</w:t>
      </w:r>
      <w:r w:rsidR="00057D5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62,1</w:t>
      </w:r>
      <w:r w:rsidR="00057D5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0305594" w14:textId="1EE1F6B8" w:rsidR="00C03531" w:rsidRPr="0095298E" w:rsidRDefault="004F35DE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8061 женщина</w:t>
      </w:r>
      <w:r w:rsidR="009A012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49,3</w:t>
      </w:r>
      <w:r w:rsidR="00C035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94FCF5A" w14:textId="5923B777" w:rsidR="00C03531" w:rsidRPr="0095298E" w:rsidRDefault="004F35DE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1342</w:t>
      </w:r>
      <w:r w:rsidR="00840E8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012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5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родителей имеющих, несовершеннолет</w:t>
      </w:r>
      <w:r w:rsidR="009A012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детей (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 w:rsidR="00C035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05D29F91" w14:textId="31926BFF" w:rsidR="00C03531" w:rsidRPr="0095298E" w:rsidRDefault="004F35DE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635</w:t>
      </w:r>
      <w:r w:rsidR="00840E8A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(</w:t>
      </w:r>
      <w:r w:rsidR="009A012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35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6C42A2A" w14:textId="6C7BE3D6" w:rsidR="00093455" w:rsidRDefault="004F35DE" w:rsidP="006A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638 граждан </w:t>
      </w:r>
      <w:proofErr w:type="spell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(3,9</w:t>
      </w:r>
      <w:r w:rsidR="00C035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53C162D5" w14:textId="77777777" w:rsidR="0095298E" w:rsidRPr="0095298E" w:rsidRDefault="0095298E" w:rsidP="006A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278C7" w14:textId="77777777" w:rsidR="003F32EB" w:rsidRPr="0095298E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14:paraId="04305D3D" w14:textId="77777777"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E7592D9" w14:textId="77777777" w:rsidR="003F32EB" w:rsidRPr="005E3016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E301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644E02" w:rsidRPr="005E301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14:paraId="0F8F76B0" w14:textId="47398855" w:rsidR="003F32EB" w:rsidRPr="0095298E" w:rsidRDefault="003F32EB" w:rsidP="0044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работы трудоустроен</w:t>
      </w:r>
      <w:r w:rsidR="009249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5B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9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9249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испытывающи</w:t>
      </w:r>
      <w:r w:rsidR="009249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поиске работы, из них: </w:t>
      </w:r>
      <w:r w:rsidR="009249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862C9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граждан</w:t>
      </w:r>
      <w:r w:rsidR="0013225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родителей, имеющих несовершеннолетних детей; </w:t>
      </w:r>
      <w:r w:rsidR="0087106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493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65B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65B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освобожденны</w:t>
      </w:r>
      <w:r w:rsidR="0087106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65B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865B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учреждений, исполняющих наказание в виде лишения свободы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C8E7FA" w14:textId="77777777" w:rsidR="003F32EB" w:rsidRPr="0095298E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862C9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3225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862C9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62C9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781179" w14:textId="77777777" w:rsidR="003F32EB" w:rsidRPr="00604C58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C433CE0" w14:textId="77777777" w:rsidR="003F32EB" w:rsidRPr="00644E02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14:paraId="6A834932" w14:textId="0730C958" w:rsidR="003F32EB" w:rsidRPr="0095298E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862C9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9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324E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возрасте                     от 14 до 18 лет в свободное от учебы время, в том числе:</w:t>
      </w:r>
    </w:p>
    <w:p w14:paraId="499BEBB0" w14:textId="77777777" w:rsidR="003F32EB" w:rsidRPr="0095298E" w:rsidRDefault="00862C93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6C14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F02F7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6C14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32EB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7DADA7AF" w14:textId="77777777" w:rsidR="003F32EB" w:rsidRPr="0095298E" w:rsidRDefault="00862C93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26C14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32EB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132255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0A06E23C" w14:textId="77777777" w:rsidR="003F32EB" w:rsidRPr="0095298E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территорий предприятий (организаций) </w:t>
      </w:r>
      <w:r w:rsidR="008D571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населённых пунктов, </w:t>
      </w:r>
      <w:r w:rsidR="0087106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организации культурно-массовых мероприятий, работали с библи</w:t>
      </w:r>
      <w:r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7106E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течными фондами, о</w:t>
      </w:r>
      <w:r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казывали социальную помощь на дому гражданам пожилого возраста, ветеранам и участникам Великой Отечественной войны.</w:t>
      </w:r>
    </w:p>
    <w:p w14:paraId="4521BC70" w14:textId="77777777" w:rsidR="003F32EB" w:rsidRPr="00604C58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A46E7B5" w14:textId="77777777" w:rsidR="003F32EB" w:rsidRPr="00644E02" w:rsidRDefault="00644E02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>Общественные работы</w:t>
      </w:r>
    </w:p>
    <w:p w14:paraId="4D33EE7C" w14:textId="77777777" w:rsidR="003F32EB" w:rsidRPr="0095298E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0C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851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132255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0DBD1" w14:textId="77777777" w:rsidR="003F32EB" w:rsidRPr="0095298E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250DD9C9" w14:textId="77777777" w:rsidR="00723194" w:rsidRPr="0095298E" w:rsidRDefault="00862C93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2170C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0C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="002170C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стремящиеся возобновить трудовую деятельность после дли</w:t>
      </w:r>
      <w:r w:rsidR="002D75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(более года) перерыва;</w:t>
      </w:r>
      <w:r w:rsidR="004436F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170C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="002170C1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26C1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имеющие квалификации.</w:t>
      </w:r>
      <w:proofErr w:type="gramEnd"/>
    </w:p>
    <w:p w14:paraId="1F68CD56" w14:textId="77777777" w:rsidR="009E27A8" w:rsidRPr="00E10188" w:rsidRDefault="009E27A8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129A2381" w14:textId="77777777" w:rsidR="00AB4A3D" w:rsidRDefault="00AB4A3D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</w:t>
      </w:r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сть безработных граждан</w:t>
      </w:r>
    </w:p>
    <w:p w14:paraId="3E50B560" w14:textId="77777777" w:rsidR="00644E02" w:rsidRPr="00E10188" w:rsidRDefault="00644E02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394AEF7A" w14:textId="77777777" w:rsidR="001C145D" w:rsidRPr="0095298E" w:rsidRDefault="006B0CCE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 продолжается работа по поддержке предпринимательской инициативы безработных граждан. Специалисты биржи труда</w:t>
      </w:r>
      <w:r w:rsidR="00AB4A3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AB4A3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C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642C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145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1C145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предпринимательс</w:t>
      </w:r>
      <w:r w:rsidR="004929A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1C145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1C145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возможностях открытия собственного дела и о мерах поддержки начинающи</w:t>
      </w:r>
      <w:r w:rsidR="007A7CB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предпринимателям</w:t>
      </w:r>
      <w:r w:rsidR="001C145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области.</w:t>
      </w:r>
    </w:p>
    <w:p w14:paraId="0AD1FFBA" w14:textId="57471A04" w:rsidR="00AB4A3D" w:rsidRPr="0095298E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A7CB8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1FD8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7536C3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F29B0" w:rsidRP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52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54C4555" w14:textId="35AD6815" w:rsidR="00AB4A3D" w:rsidRPr="0095298E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="009F473C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1525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A0CA1A6" w14:textId="666D5A98" w:rsidR="00AB4A3D" w:rsidRPr="0095298E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B4A3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536C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="007536C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A239FD" w14:textId="0953D435" w:rsidR="00CF3BB4" w:rsidRPr="0095298E" w:rsidRDefault="00AB4A3D" w:rsidP="00CF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8D571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финансовая помощь при государственной регистрации</w:t>
      </w:r>
      <w:r w:rsidR="003B7E6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  <w:r w:rsidR="008D571B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7CB8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безработным гражданам</w:t>
      </w:r>
      <w:r w:rsidR="00CF3BB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3BB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получили дополнительно финансовую помощь на создание 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F3BB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трудоустройства безработных, состоящих на учете в службе занятости</w:t>
      </w:r>
      <w:r w:rsidR="0048099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BB4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79333" w14:textId="618D055F" w:rsidR="00AB4A3D" w:rsidRPr="0095298E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1F50EE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29B0"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14:paraId="7CF6E1C4" w14:textId="77777777" w:rsidR="006642C0" w:rsidRPr="00E10188" w:rsidRDefault="006642C0" w:rsidP="006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6401F08" w14:textId="77777777"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14:paraId="04F32F15" w14:textId="77777777"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14:paraId="0061DC73" w14:textId="4C3C3E09" w:rsidR="00AB4A3D" w:rsidRPr="004428F4" w:rsidRDefault="00062F2C" w:rsidP="0006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699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05127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1296</w:t>
      </w:r>
      <w:r w:rsidR="00121E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8D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4FA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  <w:r w:rsidR="00121E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528D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4552D482" w14:textId="77777777" w:rsidR="00AB4A3D" w:rsidRPr="004428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AF69EE" w14:textId="3E24CAF1" w:rsidR="00AB4A3D" w:rsidRPr="004428F4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</w:t>
      </w:r>
      <w:r w:rsidR="009161C0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493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9161C0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21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057F8424" w14:textId="2B8793F3" w:rsidR="00DC1AE5" w:rsidRPr="004428F4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E2493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040A9F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возрасте 16-29 лет; </w:t>
      </w:r>
    </w:p>
    <w:p w14:paraId="07FD00CB" w14:textId="248A5A11" w:rsidR="00AB4A3D" w:rsidRPr="004428F4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6E1008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93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6E1008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21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14:paraId="10142991" w14:textId="52947D71" w:rsidR="00AB4A3D" w:rsidRPr="004428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113C79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</w:t>
      </w:r>
      <w:r w:rsidR="006E1008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A5A62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708B4D87" w14:textId="23B53100" w:rsidR="00AB4A3D" w:rsidRPr="004428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8F29B0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1B4AEE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0EE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14:paraId="2B2A3A8A" w14:textId="5E9B7E7B" w:rsidR="00B878D2" w:rsidRPr="004428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40A43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149BC6" w14:textId="2CBC4003" w:rsidR="00AB4A3D" w:rsidRPr="004428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6719</w:t>
      </w:r>
      <w:r w:rsidR="002D4466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62F2C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47A8B406" w14:textId="77777777" w:rsidR="000742F4" w:rsidRPr="004428F4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0B5BA2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F33C1" w14:textId="77777777" w:rsidR="003677D3" w:rsidRPr="004428F4" w:rsidRDefault="003677D3" w:rsidP="0036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организаций Ленинградской области,</w:t>
      </w:r>
      <w:r w:rsidR="008D571B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организующих временное трудоустройство подростков, комитет </w:t>
      </w:r>
      <w:r w:rsidR="006B13F9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6B13F9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6B13F9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D571B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субсидий государственным (муниципальным) бюджетным и автономным учреждениям Ленинградской области, организующим временное трудоустройство несовершеннолетних граждан в свободное </w:t>
      </w:r>
      <w:r w:rsidR="008D571B"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учебы время.  Грант используется учреждением на оплату труда временно трудоустроенных подростков по направлению службы занятости. </w:t>
      </w:r>
    </w:p>
    <w:p w14:paraId="18414A55" w14:textId="6AAE01D5" w:rsidR="00A528DC" w:rsidRPr="004428F4" w:rsidRDefault="00A528DC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2019 году 75 учреждений признаны получателями грантов и заключили договора </w:t>
      </w:r>
      <w:r w:rsidR="0012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4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комитетом на предоставление грантов на общую сумму более 23 млн. руб. на трудоустройство более 3,5 тыс. ребят.</w:t>
      </w:r>
    </w:p>
    <w:p w14:paraId="1BCD62D7" w14:textId="77777777" w:rsidR="007E32C4" w:rsidRPr="005872DE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155A248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3D3F6545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14:paraId="441CDBFC" w14:textId="77777777" w:rsidR="00AB4A3D" w:rsidRPr="00121E13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2303D2C" w14:textId="77777777" w:rsidR="00AB4A3D" w:rsidRPr="00121E13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3654</w:t>
      </w:r>
      <w:r w:rsidR="00644E02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B3F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52B4B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6B3F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52B4B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</w:t>
      </w:r>
      <w:r w:rsidR="00AB4A3D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E02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345A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2FA786AB" w14:textId="77777777" w:rsidR="00AB4A3D" w:rsidRPr="00121E1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1342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04101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3F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родители, имеющие детей-инвалидов –  </w:t>
      </w:r>
      <w:r w:rsidR="00644E02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3F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3F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48E6251D" w14:textId="30894968" w:rsidR="006E3551" w:rsidRPr="00121E13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040A9F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6AD1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E4B7E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40A9F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862AA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402A9EF4" w14:textId="196617A9" w:rsidR="00AB4A3D" w:rsidRPr="00121E1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2D4466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2547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6B3FF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04101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</w:t>
      </w:r>
      <w:r w:rsid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69,</w:t>
      </w:r>
      <w:r w:rsidR="006B13F9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3E20D32D" w14:textId="77777777" w:rsidR="00AB4A3D" w:rsidRPr="00121E13" w:rsidRDefault="00AB4A3D" w:rsidP="00E1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904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132255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35,5</w:t>
      </w:r>
      <w:r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</w:t>
      </w:r>
      <w:r w:rsidR="00E10188" w:rsidRPr="0012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в поиске подходящей работы).</w:t>
      </w:r>
    </w:p>
    <w:p w14:paraId="19BF6DB5" w14:textId="77777777" w:rsidR="00F80DF8" w:rsidRPr="00E77A94" w:rsidRDefault="00F80DF8" w:rsidP="006A73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4C2EF083" w14:textId="77777777" w:rsidR="00AB4A3D" w:rsidRPr="00F80DF8" w:rsidRDefault="001667D4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44E02" w:rsidRPr="00F80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3FCDAD4D" w14:textId="77777777" w:rsidR="00644E02" w:rsidRPr="005872DE" w:rsidRDefault="00644E02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507E4966" w14:textId="1AA5C467" w:rsidR="00AB4A3D" w:rsidRPr="00E2667A" w:rsidRDefault="00F80D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0241C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54B7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A19BA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21E13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86431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E3EE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658</w:t>
      </w:r>
      <w:r w:rsidR="00DA645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относящ</w:t>
      </w:r>
      <w:r w:rsidR="00E0135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AE3EE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5,8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17D2B383" w14:textId="7FF1AB98" w:rsidR="00AB4A3D" w:rsidRPr="00E2667A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F80D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635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094635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3EE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94635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3EE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093D59D2" w14:textId="2E16D5FB" w:rsidR="00AB4A3D" w:rsidRPr="00E2667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CA0B01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01.2020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8B5877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0B01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14:paraId="11AB8DBB" w14:textId="77777777" w:rsidR="00AB4A3D" w:rsidRPr="00E2667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D68FA80" w14:textId="1BC6A50E" w:rsidR="00DD7C71" w:rsidRPr="00E2667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910513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4421F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450</w:t>
      </w:r>
      <w:r w:rsidR="00910513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или </w:t>
      </w:r>
      <w:r w:rsidR="00207503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4,5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F5EE9D9" w14:textId="6F993247" w:rsidR="00AB4A3D" w:rsidRPr="00E2667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безработных граждан –</w:t>
      </w:r>
      <w:r w:rsidR="00A16A17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301</w:t>
      </w:r>
      <w:r w:rsidR="00910513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или </w:t>
      </w:r>
      <w:r w:rsidR="00E2667A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9044E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73E12A8" w14:textId="632AC334" w:rsidR="00AB4A3D" w:rsidRPr="00E2667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AD56D5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A17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</w:t>
      </w:r>
      <w:r w:rsidR="00910513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E2667A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или </w:t>
      </w:r>
      <w:r w:rsidR="00177E80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15,7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35E954A" w14:textId="77777777" w:rsidR="00AB4A3D" w:rsidRPr="00E2667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17CFF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2255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4241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F1C7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17CFF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1C7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E92250E" w14:textId="7A8F9401" w:rsidR="00C17CFF" w:rsidRPr="00E2667A" w:rsidRDefault="00C17CFF" w:rsidP="00C1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поиске работы – 8</w:t>
      </w:r>
      <w:r w:rsidR="004F1C7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2667A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4</w:t>
      </w:r>
      <w:r w:rsidR="004F1C72"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5,5</w:t>
      </w:r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E2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7A45684" w14:textId="5098CFD6" w:rsidR="00AB4A3D" w:rsidRPr="00FE317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8F29B0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8F29B0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7,8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697C3EB" w14:textId="20E6B5A9" w:rsidR="0089233B" w:rsidRPr="00FE3176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3E69FC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F15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относящих</w:t>
      </w:r>
      <w:r w:rsidR="00F862AA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</w:t>
      </w:r>
      <w:r w:rsidR="009E27A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составило </w:t>
      </w:r>
      <w:r w:rsidR="002E5C9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</w:t>
      </w:r>
      <w:r w:rsidR="00B46AD1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D56D5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260B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B00FA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инвалидов</w:t>
      </w:r>
      <w:r w:rsidR="0006349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743F087" w14:textId="77777777" w:rsidR="00063496" w:rsidRPr="00FE3176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F54BAB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>31 профессии</w:t>
      </w:r>
      <w:r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4BAB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маникюрша, машинист </w:t>
      </w:r>
      <w:r w:rsidR="00771271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экскаватора, оператор котельной, оператор стиральных машин, оператор товарный, оператор электронно-вычислительных и вычислительных машин, охранник, парикмахер, повар, педагог профессионального обучения, специалист по кадрам</w:t>
      </w:r>
      <w:r w:rsidR="00F54BAB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специалист, «Управление государственными и муниципальными закупками»</w:t>
      </w:r>
      <w:r w:rsidR="00F862AA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E31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146F42F0" w14:textId="13B5CEC6" w:rsidR="00AB4A3D" w:rsidRPr="00FE317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B6456F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9035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585</w:t>
      </w:r>
      <w:r w:rsidR="00B6456F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14:paraId="0B67A724" w14:textId="77777777" w:rsidR="00AB4A3D" w:rsidRPr="00FE317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14:paraId="2283BB2A" w14:textId="54529B18" w:rsidR="00AB4A3D" w:rsidRPr="00FE3176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F80DF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9B5A65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5306F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0DF8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="0086431D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86431D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E2AF5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32AFFEBE" w14:textId="4816EB59" w:rsidR="000742F4" w:rsidRPr="00FE3176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 в дополнительной поддержке», в части содействия занятости инвалидов, п</w:t>
      </w:r>
      <w:r w:rsidR="0086431D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роизводится</w:t>
      </w:r>
      <w:r w:rsidR="000742F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компенсация расходов работодателей на выплату заработной платы труд</w:t>
      </w:r>
      <w:r w:rsidR="00B5306F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C050D3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C050D3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FE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14:paraId="24CC999D" w14:textId="245ED5BC" w:rsidR="0086431D" w:rsidRPr="00E77A94" w:rsidRDefault="00E77A94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6431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6431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мероприятии приняли</w:t>
      </w:r>
      <w:r w:rsidR="002E5C9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31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F80DF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139</w:t>
      </w:r>
      <w:r w:rsidR="002E5C9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F80DF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(96 инвалидов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31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 наставника).</w:t>
      </w:r>
    </w:p>
    <w:p w14:paraId="582DE6AA" w14:textId="77777777" w:rsidR="005872DE" w:rsidRPr="00E77A94" w:rsidRDefault="005872DE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3F6DE4C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60BB01F1" w14:textId="77777777"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7AA73793" w14:textId="77777777" w:rsidR="00105A69" w:rsidRPr="00E77A94" w:rsidRDefault="00105A69" w:rsidP="00105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7918 сельских жителя,  из них: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4602 человека (58,1%). </w:t>
      </w:r>
      <w:proofErr w:type="gramEnd"/>
    </w:p>
    <w:p w14:paraId="7C0C0D3E" w14:textId="77777777" w:rsidR="00105A69" w:rsidRPr="00E77A94" w:rsidRDefault="00105A69" w:rsidP="0010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7564F3B0" w14:textId="77777777" w:rsidR="00105A69" w:rsidRPr="00E77A94" w:rsidRDefault="00105A69" w:rsidP="00105A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14:paraId="3CE5A3FE" w14:textId="77777777" w:rsidR="00105A69" w:rsidRPr="00E77A94" w:rsidRDefault="00105A69" w:rsidP="00105A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профессиональной ориентации – 9988 человек; </w:t>
      </w:r>
    </w:p>
    <w:p w14:paraId="50D12742" w14:textId="77777777" w:rsidR="00105A69" w:rsidRPr="00E77A94" w:rsidRDefault="00105A69" w:rsidP="00105A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 446 человек;</w:t>
      </w:r>
    </w:p>
    <w:p w14:paraId="02DBDC9B" w14:textId="77777777" w:rsidR="00105A69" w:rsidRPr="00E77A94" w:rsidRDefault="00105A69" w:rsidP="00105A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приступили к профессиональному обучению – 436 человек;</w:t>
      </w:r>
    </w:p>
    <w:p w14:paraId="47AAE0AD" w14:textId="77777777" w:rsidR="00105A69" w:rsidRPr="00E77A94" w:rsidRDefault="00105A69" w:rsidP="00105A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 457 человек; </w:t>
      </w:r>
    </w:p>
    <w:p w14:paraId="017A39CD" w14:textId="77777777" w:rsidR="00105A69" w:rsidRPr="00E77A94" w:rsidRDefault="00105A69" w:rsidP="00105A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443 человека. </w:t>
      </w:r>
    </w:p>
    <w:p w14:paraId="490815A2" w14:textId="77777777" w:rsidR="00105A69" w:rsidRPr="00E77A94" w:rsidRDefault="00105A69" w:rsidP="0010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 со школьниками                  и студентами, осуществляли приемы граждан, ищущих работу.</w:t>
      </w:r>
    </w:p>
    <w:p w14:paraId="5632CF7A" w14:textId="77777777" w:rsidR="00105A69" w:rsidRPr="00E77A94" w:rsidRDefault="00105A69" w:rsidP="0010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764E68A3" w14:textId="77777777" w:rsidR="00105A69" w:rsidRPr="00E77A94" w:rsidRDefault="00105A69" w:rsidP="0010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391135F1" w14:textId="77777777" w:rsidR="00105A69" w:rsidRPr="00E77A94" w:rsidRDefault="00105A69" w:rsidP="0010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01.01.2020:</w:t>
      </w:r>
    </w:p>
    <w:p w14:paraId="644F3AA3" w14:textId="77777777" w:rsidR="00105A69" w:rsidRPr="00E77A94" w:rsidRDefault="00105A69" w:rsidP="0010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«банке» вакансий службы занятости находились 834</w:t>
      </w:r>
      <w:r w:rsidRPr="00E77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вакансии, предоставленных предприятиями агропромышленного комплекса (4,3% от общего количества вакансий); </w:t>
      </w:r>
    </w:p>
    <w:p w14:paraId="4E89621F" w14:textId="77777777" w:rsidR="00105A69" w:rsidRPr="00E77A94" w:rsidRDefault="00105A69" w:rsidP="0010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учете состояли 1138 безработных граждан, проживающих в сельской местности                     (на 258 человек больше, чем в начале 2019 года). </w:t>
      </w:r>
    </w:p>
    <w:p w14:paraId="61D031C8" w14:textId="77777777" w:rsidR="0077446F" w:rsidRPr="00E77A9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B12AFD5" w14:textId="77777777"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14:paraId="66F0409D" w14:textId="77777777"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29EBB6C1" w14:textId="77777777" w:rsidR="005B4C0B" w:rsidRPr="004335D0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2CEDD48" w14:textId="77777777" w:rsidR="005B4C0B" w:rsidRPr="00E77A94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освобожденных из учреждений, исполняющих наказание в виде лишения свободы</w:t>
      </w:r>
      <w:r w:rsidR="00AD56D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D56D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Трудоустроено 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AD56D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54F3C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D56D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AA7E9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редняя эффективность трудоустройства составила </w:t>
      </w:r>
      <w:r w:rsidR="00F54F3C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AA7E9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D56D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7E9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0C04D2" w14:textId="77777777" w:rsidR="005B4C0B" w:rsidRPr="004335D0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Работа по содействию трудоустройству лиц, </w:t>
      </w:r>
      <w:r w:rsidR="002A507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14:paraId="1921DB30" w14:textId="3F238EEE" w:rsidR="005B4C0B" w:rsidRPr="00E77A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</w:t>
      </w:r>
      <w:r w:rsidR="00375EF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8612D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1104</w:t>
      </w:r>
      <w:r w:rsidR="009A1D46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8612D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ьма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E26D52" w14:textId="0A11C9B2" w:rsidR="005B4C0B" w:rsidRPr="00E77A94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0388B510" w14:textId="77777777" w:rsidR="005B4C0B" w:rsidRPr="00E77A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2D0B8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="002D0B8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C36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E96EB39" w14:textId="77777777" w:rsidR="005B4C0B" w:rsidRPr="00E77A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</w:t>
      </w:r>
      <w:r w:rsidR="002E5C9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2D0B8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14:paraId="6ECABD53" w14:textId="77777777" w:rsidR="005B4C0B" w:rsidRPr="00E77A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адаптации –</w:t>
      </w:r>
      <w:r w:rsidR="002D0B8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D0B8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07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14:paraId="72CE0E43" w14:textId="77777777" w:rsidR="005B4C0B" w:rsidRPr="00E77A94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255C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6061CF2" w14:textId="79FAB5D7" w:rsidR="00642BE1" w:rsidRPr="00E77A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Соглашением о сотрудничестве и совместной работе комитета</w:t>
      </w:r>
      <w:r w:rsidR="009E5D2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Управления Федеральной службы исполнения наказания по Санкт-Петербургу и Ленинградской области по содействию занятости лиц, подлежащих освобождению и освободившихся</w:t>
      </w:r>
      <w:r w:rsidR="009E5D2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учреждений, исполняющих наказание в виде лишения свободы,</w:t>
      </w:r>
      <w:r w:rsidR="009E5D2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начала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1666A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143B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B9503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посетили исправительн</w:t>
      </w:r>
      <w:r w:rsidR="006143B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255C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14:paraId="13914C74" w14:textId="6EA394A9" w:rsidR="005B4C0B" w:rsidRPr="00E77A94" w:rsidRDefault="008612DD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DD0E6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освобождению,</w:t>
      </w:r>
      <w:r w:rsidR="00DD7C7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о предоставляемых службой занятости </w:t>
      </w:r>
      <w:proofErr w:type="spellStart"/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482EBE21" w14:textId="4C00C48A" w:rsidR="0066151F" w:rsidRPr="00E77A94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DD0E6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8A3488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335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</w:t>
      </w:r>
      <w:r w:rsidR="00DD0E65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14:paraId="4440D679" w14:textId="6E61A2B2" w:rsidR="00642BE1" w:rsidRPr="00E77A94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70474E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5B4C0B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</w:t>
      </w:r>
      <w:r w:rsidR="00742A40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F01B7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892B84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F01B7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E77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70BBAC" w14:textId="77777777" w:rsidR="009E5D22" w:rsidRPr="00E77A9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DC758D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7D96614F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0D2011A8" w14:textId="77777777"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521A8C" w14:textId="73E24450" w:rsidR="00842603" w:rsidRPr="00E77A94" w:rsidRDefault="00950C1A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профессиональному обучению и дополнительному профессиональному образованию (далее – профессиональное обучение) по направлению службы занятости 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2060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числе: 1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4 безработных гражданина; 2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женщины в период отпуска по уходу за ребенком до достижения им возраста трёх лет (далее – женщины); 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93 незанятых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ина, которым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 (далее – пенсионеры), 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незанятых инвалидов, обратившихся в службу занятости за содействием 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поиске подходящей работы, 5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3672CF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BD51F2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предпенсионного возраста в рамках Федерального проекта «Старшее поколение»</w:t>
      </w:r>
      <w:r w:rsidR="00842603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D12F65" w14:textId="366B8BD2" w:rsidR="008B72E4" w:rsidRPr="00E77A94" w:rsidRDefault="008B72E4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граждан осуществлялось по 58 профессиям (направлению подготовки), имеющим спрос на рынке труда региона: водитель погрузчика, водитель автотранспортного средства (различные категории), менеджер по персоналу, специалист по 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C1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(дополнительного образования; профессионального образования)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охранник, парикмахер, </w:t>
      </w:r>
      <w:r w:rsidR="00950C1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котельной, кладовщик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бухгалтер, 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электромонтер, </w:t>
      </w:r>
      <w:r w:rsidR="00950C1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экскаватора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6E141AEB" w14:textId="10E1B861" w:rsidR="00842603" w:rsidRPr="00E77A94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безработных граждан, направленных на </w:t>
      </w:r>
      <w:proofErr w:type="gram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профессиям, составила – </w:t>
      </w:r>
      <w:r w:rsidR="00E77A94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459926C" w14:textId="77777777" w:rsidR="008B72E4" w:rsidRPr="00E77A94" w:rsidRDefault="008B72E4" w:rsidP="008B72E4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  <w:bCs w:val="0"/>
        </w:rPr>
      </w:pPr>
      <w:r w:rsidRPr="00E77A94">
        <w:rPr>
          <w:b w:val="0"/>
          <w:bCs w:val="0"/>
        </w:rPr>
        <w:t xml:space="preserve">Профессиональное обучение женщин осуществлялось под конкретные рабочие места </w:t>
      </w:r>
      <w:r w:rsidR="006B0F5A" w:rsidRPr="00E77A94">
        <w:rPr>
          <w:b w:val="0"/>
          <w:bCs w:val="0"/>
        </w:rPr>
        <w:t xml:space="preserve">                  </w:t>
      </w:r>
      <w:r w:rsidRPr="00E77A94">
        <w:rPr>
          <w:b w:val="0"/>
          <w:bCs w:val="0"/>
        </w:rPr>
        <w:t xml:space="preserve">по 29 наименованиям профессий (образовательных программ): бухгалтер, «Теория и методика </w:t>
      </w:r>
      <w:r w:rsidRPr="00E77A94">
        <w:rPr>
          <w:b w:val="0"/>
          <w:bCs w:val="0"/>
        </w:rPr>
        <w:lastRenderedPageBreak/>
        <w:t xml:space="preserve">дошкольного образования» (воспитатель), «Складской учет на ПК», парикмахер, портной, педагог дополнительного образования, специалист по государственным и муниципальным закупками, медицинская сестра по физиотерапии, кладовщик, </w:t>
      </w:r>
      <w:proofErr w:type="spellStart"/>
      <w:proofErr w:type="gramStart"/>
      <w:r w:rsidRPr="00E77A94">
        <w:rPr>
          <w:b w:val="0"/>
          <w:bCs w:val="0"/>
        </w:rPr>
        <w:t>косметик</w:t>
      </w:r>
      <w:proofErr w:type="spellEnd"/>
      <w:r w:rsidRPr="00E77A94">
        <w:rPr>
          <w:b w:val="0"/>
          <w:bCs w:val="0"/>
        </w:rPr>
        <w:t xml:space="preserve"> и</w:t>
      </w:r>
      <w:proofErr w:type="gramEnd"/>
      <w:r w:rsidRPr="00E77A94">
        <w:rPr>
          <w:b w:val="0"/>
          <w:bCs w:val="0"/>
        </w:rPr>
        <w:t xml:space="preserve"> другие.</w:t>
      </w:r>
    </w:p>
    <w:p w14:paraId="4B53062F" w14:textId="77777777" w:rsidR="002D3E85" w:rsidRPr="00E77A94" w:rsidRDefault="008B72E4" w:rsidP="002D3E85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</w:rPr>
      </w:pPr>
      <w:r w:rsidRPr="00E77A94">
        <w:rPr>
          <w:b w:val="0"/>
          <w:bCs w:val="0"/>
        </w:rPr>
        <w:t xml:space="preserve">Профессиональное обучение пенсионеров и незанятых инвалидов осуществлялось </w:t>
      </w:r>
      <w:r w:rsidR="006B0F5A" w:rsidRPr="00E77A94">
        <w:rPr>
          <w:b w:val="0"/>
          <w:bCs w:val="0"/>
        </w:rPr>
        <w:t xml:space="preserve">                      </w:t>
      </w:r>
      <w:r w:rsidRPr="00E77A94">
        <w:rPr>
          <w:b w:val="0"/>
          <w:bCs w:val="0"/>
        </w:rPr>
        <w:t>по 18 профессиям (направлениям подготовки), пользующимся спросом на рынке труда региона: бухгалтер, водитель погрузчика, охранник, оператор котельной, повар, портной, специ</w:t>
      </w:r>
      <w:r w:rsidR="00B428C0" w:rsidRPr="00E77A94">
        <w:rPr>
          <w:b w:val="0"/>
          <w:bCs w:val="0"/>
        </w:rPr>
        <w:t xml:space="preserve">алист </w:t>
      </w:r>
      <w:r w:rsidR="006B0F5A" w:rsidRPr="00E77A94">
        <w:rPr>
          <w:b w:val="0"/>
          <w:bCs w:val="0"/>
        </w:rPr>
        <w:t xml:space="preserve">              </w:t>
      </w:r>
      <w:r w:rsidR="00B428C0" w:rsidRPr="00E77A94">
        <w:rPr>
          <w:b w:val="0"/>
          <w:bCs w:val="0"/>
        </w:rPr>
        <w:t>по кадрам, педагог дополните</w:t>
      </w:r>
      <w:r w:rsidRPr="00E77A94">
        <w:rPr>
          <w:b w:val="0"/>
          <w:bCs w:val="0"/>
        </w:rPr>
        <w:t>льного образования и др.</w:t>
      </w:r>
      <w:r w:rsidR="00C80AC7" w:rsidRPr="00E77A94">
        <w:rPr>
          <w:b w:val="0"/>
        </w:rPr>
        <w:t xml:space="preserve"> </w:t>
      </w:r>
    </w:p>
    <w:p w14:paraId="4B2127D1" w14:textId="2C4C0519" w:rsidR="002D3E85" w:rsidRPr="00E77A94" w:rsidRDefault="00E77A94" w:rsidP="002D3E85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6B0F5A" w:rsidRPr="00E77A94">
        <w:rPr>
          <w:b w:val="0"/>
          <w:bCs w:val="0"/>
        </w:rPr>
        <w:t xml:space="preserve"> 2019 год</w:t>
      </w:r>
      <w:r>
        <w:rPr>
          <w:b w:val="0"/>
          <w:bCs w:val="0"/>
        </w:rPr>
        <w:t>у</w:t>
      </w:r>
      <w:r w:rsidR="006B0F5A" w:rsidRPr="00E77A94">
        <w:rPr>
          <w:b w:val="0"/>
          <w:bCs w:val="0"/>
        </w:rPr>
        <w:t xml:space="preserve"> </w:t>
      </w:r>
      <w:r w:rsidR="002D3E85" w:rsidRPr="00E77A94">
        <w:rPr>
          <w:b w:val="0"/>
          <w:bCs w:val="0"/>
        </w:rPr>
        <w:t xml:space="preserve">заключено 66 договоров с работодателями по обучению работников предпенсионного возраста и 47 договоров с гражданами предпенсионного возраста. </w:t>
      </w:r>
    </w:p>
    <w:p w14:paraId="52016899" w14:textId="31A350BF" w:rsidR="002D3E85" w:rsidRPr="00E77A94" w:rsidRDefault="002D3E85" w:rsidP="002D3E85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  <w:bCs w:val="0"/>
        </w:rPr>
      </w:pPr>
      <w:r w:rsidRPr="00E77A94">
        <w:rPr>
          <w:b w:val="0"/>
        </w:rPr>
        <w:t>При организации обучения предпенсионеров широко использ</w:t>
      </w:r>
      <w:r w:rsidR="003672CF" w:rsidRPr="00E77A94">
        <w:rPr>
          <w:b w:val="0"/>
        </w:rPr>
        <w:t>овались</w:t>
      </w:r>
      <w:r w:rsidRPr="00E77A94">
        <w:rPr>
          <w:b w:val="0"/>
        </w:rPr>
        <w:t xml:space="preserve"> как обычные технологии обучения с отрывом и без отрыва от производства, так и технологии дистанционного обучения. Программы корректир</w:t>
      </w:r>
      <w:r w:rsidR="003672CF" w:rsidRPr="00E77A94">
        <w:rPr>
          <w:b w:val="0"/>
        </w:rPr>
        <w:t>овались</w:t>
      </w:r>
      <w:r w:rsidRPr="00E77A94">
        <w:rPr>
          <w:b w:val="0"/>
        </w:rPr>
        <w:t xml:space="preserve"> с учетом заявок граждан и работодателей. </w:t>
      </w:r>
    </w:p>
    <w:p w14:paraId="1B169019" w14:textId="770EEFF1" w:rsidR="002D3E85" w:rsidRPr="00E77A94" w:rsidRDefault="002D3E85" w:rsidP="002D3E85">
      <w:pPr>
        <w:pStyle w:val="ae"/>
        <w:spacing w:before="0" w:beforeAutospacing="0" w:after="0" w:afterAutospacing="0"/>
        <w:ind w:firstLine="567"/>
        <w:jc w:val="both"/>
      </w:pPr>
      <w:proofErr w:type="spellStart"/>
      <w:proofErr w:type="gramStart"/>
      <w:r w:rsidRPr="00E77A94">
        <w:t>Предпенсионеры</w:t>
      </w:r>
      <w:proofErr w:type="spellEnd"/>
      <w:r w:rsidRPr="00E77A94">
        <w:t xml:space="preserve"> повы</w:t>
      </w:r>
      <w:r w:rsidR="003672CF" w:rsidRPr="00E77A94">
        <w:t>сили</w:t>
      </w:r>
      <w:r w:rsidRPr="00E77A94">
        <w:t xml:space="preserve"> квалификацию, про</w:t>
      </w:r>
      <w:r w:rsidR="003672CF" w:rsidRPr="00E77A94">
        <w:t xml:space="preserve">шли </w:t>
      </w:r>
      <w:r w:rsidRPr="00E77A94">
        <w:t xml:space="preserve">переподготовку, профессиональное обучение по 52 профессиям (направлениям подготовки), в том числе: развитие профессиональных компетенций в IT технологиях и безопасность жизнедеятельности с учетом требований современной производственной среды, водитель погрузчика, маляр, слесарь механосборочных работ, стропальщик, электрогазосварщик, менеджмент в управлении персоналом, 1С-бухгалтерия, делопроизводство и кадры, управление гос. и </w:t>
      </w:r>
      <w:proofErr w:type="spellStart"/>
      <w:r w:rsidRPr="00E77A94">
        <w:t>муниц</w:t>
      </w:r>
      <w:proofErr w:type="spellEnd"/>
      <w:r w:rsidRPr="00E77A94">
        <w:t xml:space="preserve">. закупкам, теория и методика дошкольного образования и другие. </w:t>
      </w:r>
      <w:proofErr w:type="gramEnd"/>
    </w:p>
    <w:p w14:paraId="4BA2D2BE" w14:textId="77777777" w:rsidR="00BB5B87" w:rsidRPr="00E77A94" w:rsidRDefault="002D3E85" w:rsidP="002D3E85">
      <w:pPr>
        <w:pStyle w:val="ae"/>
        <w:spacing w:before="0" w:beforeAutospacing="0" w:after="0" w:afterAutospacing="0"/>
        <w:ind w:firstLine="567"/>
        <w:jc w:val="both"/>
      </w:pPr>
      <w:r w:rsidRPr="00E77A94">
        <w:t xml:space="preserve">Организовано групповое обучение работников предпенсионного возраста по заявкам БЭМП, </w:t>
      </w:r>
      <w:proofErr w:type="spellStart"/>
      <w:r w:rsidRPr="00E77A94">
        <w:t>РУСАЛа</w:t>
      </w:r>
      <w:proofErr w:type="spellEnd"/>
      <w:r w:rsidRPr="00E77A94">
        <w:t xml:space="preserve">, ЛОЭСК, учреждений социальной защиты населения, системы образования </w:t>
      </w:r>
      <w:r w:rsidR="006B0F5A" w:rsidRPr="00E77A94">
        <w:t xml:space="preserve">                                 </w:t>
      </w:r>
      <w:r w:rsidRPr="00E77A94">
        <w:t>и здравоохранения ЛО по программам, разработанным совместно с работодателями, включающими дополнительные модули «наставничество», «бережливое производство», «охрана труда», «оказание первой помощи» и др.</w:t>
      </w:r>
    </w:p>
    <w:p w14:paraId="407B9DB0" w14:textId="0FC22D56" w:rsidR="008B72E4" w:rsidRPr="00E77A94" w:rsidRDefault="008B72E4" w:rsidP="008B7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прошли </w:t>
      </w:r>
      <w:r w:rsidR="002413E9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7260B6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260B6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0B6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7260B6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 предприятиями Ленинградской области</w:t>
      </w:r>
      <w:proofErr w:type="gram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«Сланцы», АО «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Пикалевский</w:t>
      </w:r>
      <w:proofErr w:type="spell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цемент», ООО «БЭМП», АО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«ТВСЗ»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ОАО 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Усть-Лужский</w:t>
      </w:r>
      <w:proofErr w:type="spell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Контейнерный терминал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«Петербург цемент», ООО «ММ ПОФ 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Пэкеджинг</w:t>
      </w:r>
      <w:proofErr w:type="spellEnd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АО 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ТихвинСпецМаш</w:t>
      </w:r>
      <w:proofErr w:type="spellEnd"/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«ЛОЭСК».</w:t>
      </w:r>
      <w:proofErr w:type="gramEnd"/>
    </w:p>
    <w:p w14:paraId="615D3A88" w14:textId="77777777" w:rsidR="00BB5B87" w:rsidRPr="00E77A94" w:rsidRDefault="008B72E4" w:rsidP="008B7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организовано по 30 программам (профессиям), в том числе </w:t>
      </w:r>
      <w:r w:rsidR="00BB5B87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профессиям (специальностям), направлениям подготовки: промышленная безопасность современного предприятия, водитель погрузчика, газорезчик, диспетчер, мастер участка, машинист (автовышки и автогидроподъемника, компрессорных установок, крана (крановщик), насосных установок, паровых турбин, сырьевых мельниц), монтер пути, оператор (газораспределительной станции, опытно-промышленной станции, товарный, тяговой маневровой электрической лебедки), сварщик, слесарь (механосборочных работ, по контрольно-измерительным приборам и автоматике, 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B5B87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B5B87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котельного оборудования, слесарь-ремонтник по обслуживанию и ремонту оборудования), стропальщик, специалист по управлению персоналом производственного предприятия (экономический, правовой и психологической аспекты), </w:t>
      </w:r>
      <w:proofErr w:type="spellStart"/>
      <w:r w:rsidR="00BB5B87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футеровщик</w:t>
      </w:r>
      <w:proofErr w:type="spellEnd"/>
      <w:r w:rsidR="00BB5B87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-каменщик, электромонтер (по ремонту аппаратуры релейной защиты и автоматике, по ремонту </w:t>
      </w:r>
      <w:r w:rsidR="006B0F5A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B5B87" w:rsidRPr="00E7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обслуживанию электрооборудования).</w:t>
      </w:r>
    </w:p>
    <w:p w14:paraId="509B6C31" w14:textId="77777777" w:rsidR="005802DE" w:rsidRPr="00E77A9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75926625" w14:textId="77777777" w:rsidR="00AB4A3D" w:rsidRPr="00E77A94" w:rsidRDefault="00AB4A3D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77A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</w:t>
      </w:r>
      <w:r w:rsidR="00E10188" w:rsidRPr="00E77A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ция и психологическая поддержка</w:t>
      </w:r>
    </w:p>
    <w:p w14:paraId="0C658B30" w14:textId="77777777" w:rsidR="00E10188" w:rsidRPr="00B63B12" w:rsidRDefault="00E10188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highlight w:val="yellow"/>
          <w:lang w:eastAsia="ru-RU"/>
        </w:rPr>
      </w:pPr>
    </w:p>
    <w:p w14:paraId="2E9959B9" w14:textId="17ACF867" w:rsidR="00AB4A3D" w:rsidRPr="00E77A94" w:rsidRDefault="00E77A94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7137" w:rsidRPr="00E77A94">
        <w:rPr>
          <w:rFonts w:ascii="Times New Roman" w:eastAsia="Calibri" w:hAnsi="Times New Roman" w:cs="Times New Roman"/>
          <w:sz w:val="24"/>
          <w:szCs w:val="24"/>
        </w:rPr>
        <w:t>2019</w:t>
      </w:r>
      <w:r w:rsidR="00B63B12" w:rsidRPr="00E77A9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77A94">
        <w:rPr>
          <w:rFonts w:ascii="Times New Roman" w:eastAsia="Calibri" w:hAnsi="Times New Roman" w:cs="Times New Roman"/>
          <w:sz w:val="24"/>
          <w:szCs w:val="24"/>
        </w:rPr>
        <w:t>у</w:t>
      </w:r>
      <w:r w:rsidR="00075466" w:rsidRPr="00E77A9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E77A94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B12" w:rsidRPr="00E77A94">
        <w:rPr>
          <w:rFonts w:ascii="Times New Roman" w:eastAsia="Calibri" w:hAnsi="Times New Roman" w:cs="Times New Roman"/>
          <w:sz w:val="24"/>
          <w:szCs w:val="24"/>
        </w:rPr>
        <w:t xml:space="preserve">32097 </w:t>
      </w:r>
      <w:proofErr w:type="spellStart"/>
      <w:r w:rsidR="00536B3F" w:rsidRPr="00E77A94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E77A94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 w:rsidR="00AB4A3D" w:rsidRPr="00E77A94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D5907" w:rsidRPr="00E77A94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E77A94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14:paraId="4C13EB44" w14:textId="77777777" w:rsidR="00AB4A3D" w:rsidRPr="00E77A94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Pr="00E77A94">
        <w:rPr>
          <w:rFonts w:ascii="Times New Roman" w:eastAsia="Calibri" w:hAnsi="Times New Roman" w:cs="Times New Roman"/>
          <w:sz w:val="24"/>
          <w:szCs w:val="24"/>
        </w:rPr>
        <w:t>услуг:</w:t>
      </w:r>
    </w:p>
    <w:p w14:paraId="33358079" w14:textId="61C23786" w:rsidR="00AB4A3D" w:rsidRPr="00E77A94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756E81" w:rsidRPr="00E77A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 xml:space="preserve">21154 </w:t>
      </w:r>
      <w:proofErr w:type="spellStart"/>
      <w:r w:rsidR="00600BFE" w:rsidRPr="00E77A94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445A32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77A94">
        <w:rPr>
          <w:rFonts w:ascii="Times New Roman" w:eastAsia="Calibri" w:hAnsi="Times New Roman" w:cs="Times New Roman"/>
          <w:sz w:val="24"/>
          <w:szCs w:val="24"/>
        </w:rPr>
        <w:t>у</w:t>
      </w:r>
      <w:r w:rsidRPr="00E77A94">
        <w:rPr>
          <w:rFonts w:ascii="Times New Roman" w:eastAsia="Calibri" w:hAnsi="Times New Roman" w:cs="Times New Roman"/>
          <w:sz w:val="24"/>
          <w:szCs w:val="24"/>
        </w:rPr>
        <w:t>слуг</w:t>
      </w:r>
      <w:r w:rsidR="00600BFE" w:rsidRPr="00E77A94">
        <w:rPr>
          <w:rFonts w:ascii="Times New Roman" w:eastAsia="Calibri" w:hAnsi="Times New Roman" w:cs="Times New Roman"/>
          <w:sz w:val="24"/>
          <w:szCs w:val="24"/>
        </w:rPr>
        <w:t>и</w:t>
      </w:r>
      <w:r w:rsidRPr="00E77A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8E6399" w14:textId="77777777" w:rsidR="00AB4A3D" w:rsidRPr="00E77A94" w:rsidRDefault="004D5907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E77A94">
        <w:rPr>
          <w:rFonts w:ascii="Times New Roman" w:eastAsia="Calibri" w:hAnsi="Times New Roman" w:cs="Times New Roman"/>
          <w:sz w:val="24"/>
          <w:szCs w:val="24"/>
        </w:rPr>
        <w:t>–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 xml:space="preserve"> 6148 </w:t>
      </w:r>
      <w:r w:rsidR="00CB4E6C" w:rsidRPr="00E77A9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600BFE" w:rsidRPr="00E77A94">
        <w:rPr>
          <w:rFonts w:ascii="Times New Roman" w:eastAsia="Calibri" w:hAnsi="Times New Roman" w:cs="Times New Roman"/>
          <w:sz w:val="24"/>
          <w:szCs w:val="24"/>
        </w:rPr>
        <w:t>х</w:t>
      </w:r>
      <w:r w:rsidR="00445A32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E77A94">
        <w:rPr>
          <w:rFonts w:ascii="Times New Roman" w:eastAsia="Calibri" w:hAnsi="Times New Roman" w:cs="Times New Roman"/>
          <w:sz w:val="24"/>
          <w:szCs w:val="24"/>
        </w:rPr>
        <w:t>услуг;</w:t>
      </w:r>
    </w:p>
    <w:p w14:paraId="3F8F9C8E" w14:textId="77777777" w:rsidR="00AF028F" w:rsidRPr="00E77A94" w:rsidRDefault="00A24EB6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E77A94">
        <w:rPr>
          <w:rFonts w:ascii="Times New Roman" w:eastAsia="Calibri" w:hAnsi="Times New Roman" w:cs="Times New Roman"/>
          <w:sz w:val="24"/>
          <w:szCs w:val="24"/>
        </w:rPr>
        <w:t>–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 xml:space="preserve"> 1785 </w:t>
      </w:r>
      <w:r w:rsidR="0034772D" w:rsidRPr="00E77A9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722A49" w:rsidRPr="00E77A94">
        <w:rPr>
          <w:rFonts w:ascii="Times New Roman" w:eastAsia="Calibri" w:hAnsi="Times New Roman" w:cs="Times New Roman"/>
          <w:sz w:val="24"/>
          <w:szCs w:val="24"/>
        </w:rPr>
        <w:t>х</w:t>
      </w:r>
      <w:r w:rsidR="00445A32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A94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E77A94">
        <w:rPr>
          <w:rFonts w:ascii="Times New Roman" w:eastAsia="Calibri" w:hAnsi="Times New Roman" w:cs="Times New Roman"/>
          <w:sz w:val="24"/>
          <w:szCs w:val="24"/>
        </w:rPr>
        <w:t>слуг;</w:t>
      </w:r>
    </w:p>
    <w:p w14:paraId="0375C15E" w14:textId="77777777" w:rsidR="00AB4A3D" w:rsidRPr="00E77A94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E77A94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 xml:space="preserve"> 2307 </w:t>
      </w:r>
      <w:r w:rsidR="00CB4E6C" w:rsidRPr="00E77A9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="00445A32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77A9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12F5D" w:rsidRPr="00E77A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87D517" w14:textId="77777777" w:rsidR="00AB4A3D" w:rsidRPr="00E77A94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E77A94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E77A94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 xml:space="preserve"> 1450 </w:t>
      </w:r>
      <w:r w:rsidR="00445A32" w:rsidRPr="00E77A94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312F5D" w:rsidRPr="00E77A94">
        <w:rPr>
          <w:rFonts w:ascii="Times New Roman" w:eastAsia="Calibri" w:hAnsi="Times New Roman" w:cs="Times New Roman"/>
          <w:sz w:val="24"/>
          <w:szCs w:val="24"/>
        </w:rPr>
        <w:t>у</w:t>
      </w:r>
      <w:r w:rsidRPr="00E77A94">
        <w:rPr>
          <w:rFonts w:ascii="Times New Roman" w:eastAsia="Calibri" w:hAnsi="Times New Roman" w:cs="Times New Roman"/>
          <w:sz w:val="24"/>
          <w:szCs w:val="24"/>
        </w:rPr>
        <w:t>слуг;</w:t>
      </w:r>
    </w:p>
    <w:p w14:paraId="1106B810" w14:textId="77777777" w:rsidR="00AB4A3D" w:rsidRPr="00E77A94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>граждане пр</w:t>
      </w:r>
      <w:r w:rsidR="004D5907" w:rsidRPr="00E77A94">
        <w:rPr>
          <w:rFonts w:ascii="Times New Roman" w:eastAsia="Calibri" w:hAnsi="Times New Roman" w:cs="Times New Roman"/>
          <w:sz w:val="24"/>
          <w:szCs w:val="24"/>
        </w:rPr>
        <w:t>едпенсионного возраста –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 xml:space="preserve"> 1594 </w:t>
      </w:r>
      <w:r w:rsidR="00E82620" w:rsidRPr="00E77A94">
        <w:rPr>
          <w:rFonts w:ascii="Times New Roman" w:eastAsia="Calibri" w:hAnsi="Times New Roman" w:cs="Times New Roman"/>
          <w:sz w:val="24"/>
          <w:szCs w:val="24"/>
        </w:rPr>
        <w:t>про</w:t>
      </w:r>
      <w:r w:rsidR="00600BFE" w:rsidRPr="00E77A94">
        <w:rPr>
          <w:rFonts w:ascii="Times New Roman" w:eastAsia="Calibri" w:hAnsi="Times New Roman" w:cs="Times New Roman"/>
          <w:sz w:val="24"/>
          <w:szCs w:val="24"/>
        </w:rPr>
        <w:t>фориентационные</w:t>
      </w:r>
      <w:r w:rsidR="0034772D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E77A9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600BFE" w:rsidRPr="00E77A94">
        <w:rPr>
          <w:rFonts w:ascii="Times New Roman" w:eastAsia="Calibri" w:hAnsi="Times New Roman" w:cs="Times New Roman"/>
          <w:sz w:val="24"/>
          <w:szCs w:val="24"/>
        </w:rPr>
        <w:t>и</w:t>
      </w:r>
      <w:r w:rsidR="004A2A65" w:rsidRPr="00E77A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CFF615" w14:textId="4D62B261" w:rsidR="00756E81" w:rsidRPr="00E77A94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94">
        <w:rPr>
          <w:rFonts w:ascii="Times New Roman" w:eastAsia="Calibri" w:hAnsi="Times New Roman" w:cs="Times New Roman"/>
          <w:sz w:val="24"/>
          <w:szCs w:val="24"/>
        </w:rPr>
        <w:t>Учащимся образовательных организаций ока</w:t>
      </w:r>
      <w:r w:rsidR="007B21C4" w:rsidRPr="00E77A94">
        <w:rPr>
          <w:rFonts w:ascii="Times New Roman" w:eastAsia="Calibri" w:hAnsi="Times New Roman" w:cs="Times New Roman"/>
          <w:sz w:val="24"/>
          <w:szCs w:val="24"/>
        </w:rPr>
        <w:t xml:space="preserve">заны </w:t>
      </w:r>
      <w:r w:rsidR="00095648" w:rsidRPr="00E77A94">
        <w:rPr>
          <w:rFonts w:ascii="Times New Roman" w:eastAsia="Calibri" w:hAnsi="Times New Roman" w:cs="Times New Roman"/>
          <w:sz w:val="24"/>
          <w:szCs w:val="24"/>
        </w:rPr>
        <w:t>13530</w:t>
      </w:r>
      <w:r w:rsidR="00075466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907" w:rsidRPr="00E77A94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600BFE" w:rsidRPr="00E77A94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4D5907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E77A94">
        <w:rPr>
          <w:rFonts w:ascii="Times New Roman" w:eastAsia="Calibri" w:hAnsi="Times New Roman" w:cs="Times New Roman"/>
          <w:sz w:val="24"/>
          <w:szCs w:val="24"/>
        </w:rPr>
        <w:t>у</w:t>
      </w:r>
      <w:r w:rsidRPr="00E77A94">
        <w:rPr>
          <w:rFonts w:ascii="Times New Roman" w:eastAsia="Calibri" w:hAnsi="Times New Roman" w:cs="Times New Roman"/>
          <w:sz w:val="24"/>
          <w:szCs w:val="24"/>
        </w:rPr>
        <w:t>слуг,</w:t>
      </w:r>
      <w:r w:rsidR="00A47BC4" w:rsidRPr="00E77A9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04F1C" w:rsidRPr="00E77A94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государственного задания по профессиональной ориентации, установленного</w:t>
      </w:r>
      <w:r w:rsidR="00AF028F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E77A94">
        <w:rPr>
          <w:rFonts w:ascii="Times New Roman" w:eastAsia="Calibri" w:hAnsi="Times New Roman" w:cs="Times New Roman"/>
          <w:sz w:val="24"/>
          <w:szCs w:val="24"/>
        </w:rPr>
        <w:t>подведомственному комитету ГАОУ ДО Л</w:t>
      </w:r>
      <w:r w:rsidR="00585257" w:rsidRPr="00E77A94">
        <w:rPr>
          <w:rFonts w:ascii="Times New Roman" w:eastAsia="Calibri" w:hAnsi="Times New Roman" w:cs="Times New Roman"/>
          <w:sz w:val="24"/>
          <w:szCs w:val="24"/>
        </w:rPr>
        <w:t>О</w:t>
      </w:r>
      <w:r w:rsidR="00756E81" w:rsidRPr="00E77A94">
        <w:rPr>
          <w:rFonts w:ascii="Times New Roman" w:eastAsia="Calibri" w:hAnsi="Times New Roman" w:cs="Times New Roman"/>
          <w:sz w:val="24"/>
          <w:szCs w:val="24"/>
        </w:rPr>
        <w:t xml:space="preserve">  ЦОПП «Профстандарт»</w:t>
      </w:r>
      <w:r w:rsidR="00904F1C" w:rsidRPr="00E77A94">
        <w:rPr>
          <w:rFonts w:ascii="Times New Roman" w:eastAsia="Calibri" w:hAnsi="Times New Roman" w:cs="Times New Roman"/>
          <w:sz w:val="24"/>
          <w:szCs w:val="24"/>
        </w:rPr>
        <w:t>.</w:t>
      </w:r>
      <w:r w:rsidR="00E40F78" w:rsidRPr="00E77A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206D47" w14:textId="77777777" w:rsidR="00AB4A3D" w:rsidRPr="00DA6AB7" w:rsidRDefault="00722A49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B7">
        <w:rPr>
          <w:rFonts w:ascii="Times New Roman" w:eastAsia="Calibri" w:hAnsi="Times New Roman" w:cs="Times New Roman"/>
          <w:sz w:val="24"/>
          <w:szCs w:val="24"/>
        </w:rPr>
        <w:t>Выездные</w:t>
      </w:r>
      <w:r w:rsidR="00CF6728" w:rsidRPr="00DA6AB7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</w:t>
      </w:r>
      <w:r w:rsidRPr="00DA6AB7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="00CF6728" w:rsidRPr="00DA6AB7">
        <w:rPr>
          <w:rFonts w:ascii="Times New Roman" w:eastAsia="Calibri" w:hAnsi="Times New Roman" w:cs="Times New Roman"/>
          <w:sz w:val="24"/>
          <w:szCs w:val="24"/>
        </w:rPr>
        <w:t xml:space="preserve">проведены для </w:t>
      </w:r>
      <w:r w:rsidR="00095648" w:rsidRPr="00DA6AB7">
        <w:rPr>
          <w:rFonts w:ascii="Times New Roman" w:eastAsia="Calibri" w:hAnsi="Times New Roman" w:cs="Times New Roman"/>
          <w:sz w:val="24"/>
          <w:szCs w:val="24"/>
        </w:rPr>
        <w:t xml:space="preserve">410 </w:t>
      </w:r>
      <w:r w:rsidRPr="00DA6AB7">
        <w:rPr>
          <w:rFonts w:ascii="Times New Roman" w:eastAsia="Calibri" w:hAnsi="Times New Roman" w:cs="Times New Roman"/>
          <w:sz w:val="24"/>
          <w:szCs w:val="24"/>
        </w:rPr>
        <w:t>в</w:t>
      </w:r>
      <w:r w:rsidR="00AB4A3D" w:rsidRPr="00DA6AB7">
        <w:rPr>
          <w:rFonts w:ascii="Times New Roman" w:eastAsia="Calibri" w:hAnsi="Times New Roman" w:cs="Times New Roman"/>
          <w:sz w:val="24"/>
          <w:szCs w:val="24"/>
        </w:rPr>
        <w:t>оспитанник</w:t>
      </w:r>
      <w:r w:rsidRPr="00DA6AB7">
        <w:rPr>
          <w:rFonts w:ascii="Times New Roman" w:eastAsia="Calibri" w:hAnsi="Times New Roman" w:cs="Times New Roman"/>
          <w:sz w:val="24"/>
          <w:szCs w:val="24"/>
        </w:rPr>
        <w:t>ов</w:t>
      </w:r>
      <w:r w:rsidR="00AB4A3D" w:rsidRPr="00DA6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DA6AB7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DA6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DA6AB7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="00A47BC4" w:rsidRPr="00DA6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DA6AB7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 w:rsidR="00CF6728" w:rsidRPr="00DA6A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0D1AFA" w14:textId="5E621F22" w:rsidR="00AB4A3D" w:rsidRPr="00DA6AB7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DA6AB7">
        <w:rPr>
          <w:rFonts w:ascii="Times New Roman" w:eastAsia="Calibri" w:hAnsi="Times New Roman" w:cs="Times New Roman"/>
          <w:sz w:val="24"/>
          <w:szCs w:val="24"/>
        </w:rPr>
        <w:t>ли</w:t>
      </w:r>
      <w:r w:rsidRPr="00DA6AB7">
        <w:rPr>
          <w:rFonts w:ascii="Times New Roman" w:eastAsia="Calibri" w:hAnsi="Times New Roman" w:cs="Times New Roman"/>
          <w:sz w:val="24"/>
          <w:szCs w:val="24"/>
        </w:rPr>
        <w:t xml:space="preserve"> профориент</w:t>
      </w:r>
      <w:r w:rsidR="001D5771" w:rsidRPr="00DA6AB7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тестирование </w:t>
      </w:r>
      <w:r w:rsidR="00A47BC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09564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1282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1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00BF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525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00BF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64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829 </w:t>
      </w:r>
      <w:r w:rsidR="00600BF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904F1C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8525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D0CF05" w14:textId="6B8EC7F4" w:rsidR="006434E0" w:rsidRPr="00DA6AB7" w:rsidRDefault="00DA6AB7" w:rsidP="006B0F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E81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D56D5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66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53117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с работодателями</w:t>
      </w:r>
      <w:r w:rsidR="0034772D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19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диагностике кандидатов на вакант</w:t>
      </w:r>
      <w:r w:rsidR="0034772D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рабочие места протестирован</w:t>
      </w:r>
      <w:r w:rsidR="00032153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49B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</w:t>
      </w:r>
      <w:r w:rsidR="00032153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A01719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r w:rsidR="006B0F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A47BC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434E0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2E9BA" w14:textId="54C5955F" w:rsidR="00AB4A3D" w:rsidRPr="00DA6AB7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9564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7267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организаций при содействии ГКУ ЦЗН ЛО проведены </w:t>
      </w:r>
      <w:r w:rsidR="00553F5C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9564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</w:t>
      </w:r>
      <w:r w:rsidR="00032153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32153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</w:t>
      </w:r>
      <w:r w:rsidR="002413E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32153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</w:t>
      </w:r>
      <w:bookmarkStart w:id="0" w:name="_GoBack"/>
      <w:bookmarkEnd w:id="0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14:paraId="4BED6886" w14:textId="77777777" w:rsidR="006F005A" w:rsidRPr="00DA6AB7" w:rsidRDefault="004A2A65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комитета общего и профессионального образования Ленинградской области организовано ежегодное мероприятие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День Профориентации» (д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«ЕДП»). </w:t>
      </w:r>
    </w:p>
    <w:p w14:paraId="6DCFC281" w14:textId="77777777" w:rsidR="006F005A" w:rsidRPr="00DA6AB7" w:rsidRDefault="0066644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прошло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на 19 площадках, расположенных во всех муниципальных районах (городском округе) Ленинградской области. </w:t>
      </w:r>
    </w:p>
    <w:p w14:paraId="5665C94C" w14:textId="77777777" w:rsidR="006F005A" w:rsidRPr="00DA6AB7" w:rsidRDefault="0034772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площадкой «ЕДП» стал ФГБОУ </w:t>
      </w:r>
      <w:proofErr w:type="gramStart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бургский </w:t>
      </w:r>
      <w:r w:rsidR="00B82B71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 университет». Н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главной площадке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«ЕДП»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панельная сессия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открытого диалога «</w:t>
      </w:r>
      <w:proofErr w:type="spellStart"/>
      <w:proofErr w:type="gramStart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PROF</w:t>
      </w:r>
      <w:proofErr w:type="gramEnd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ориентируйся</w:t>
      </w:r>
      <w:proofErr w:type="spellEnd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успех!»,  в рамках которой эксперты науки, бизнеса и образования рассказывали о новых подходах к построению успешной карьеры, актуальных проектах для молодежи Ленинградской области. Для участников «ЕДП» организованы карьерные предложения от ведущих предприятий и организаций Ленинградской области </w:t>
      </w:r>
      <w:r w:rsidR="009E27A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gramStart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экспресс-собеседований</w:t>
      </w:r>
      <w:proofErr w:type="gramEnd"/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интерактивный марафон «Эволюция профессии», направленный на практическое освоение профессиональных компетенций. </w:t>
      </w:r>
    </w:p>
    <w:p w14:paraId="19E83AF5" w14:textId="77777777" w:rsidR="006F005A" w:rsidRPr="00DA6AB7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«ЕДП» стали 2260 обучающихся образовательных организаций Ленинградской области.</w:t>
      </w:r>
    </w:p>
    <w:p w14:paraId="7D2A9461" w14:textId="77777777" w:rsidR="006F005A" w:rsidRPr="00DA6AB7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реализует  проект «Наставнич</w:t>
      </w:r>
      <w:r w:rsidR="0034772D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профориентации» (далее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проект), в рамках которого руководители органов исполнительной власти, директора системообразующих предприятий</w:t>
      </w:r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деятели культуры и искусств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наставнической деятельности для содействия профессиональному самоопределению обучающейся молодежи Ленинградской области.</w:t>
      </w:r>
    </w:p>
    <w:p w14:paraId="658B4319" w14:textId="77777777" w:rsidR="006F005A" w:rsidRPr="00DA6AB7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период в проекте прин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64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F672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наставников и 40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E27A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качестве наставляемых.</w:t>
      </w:r>
    </w:p>
    <w:p w14:paraId="2A9A0BA5" w14:textId="77777777" w:rsidR="0066644A" w:rsidRPr="00DA6AB7" w:rsidRDefault="00115DBE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наставников-бизнесменов для лучшей молодежи региона стал Юн </w:t>
      </w:r>
      <w:proofErr w:type="spellStart"/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Хьяртланд</w:t>
      </w:r>
      <w:proofErr w:type="spellEnd"/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ООО «</w:t>
      </w:r>
      <w:proofErr w:type="spellStart"/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Йотун</w:t>
      </w:r>
      <w:proofErr w:type="spellEnd"/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Пэйнтс</w:t>
      </w:r>
      <w:proofErr w:type="spellEnd"/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помогает своей наставляемой реализовать социальный проект, направленный на решение проблемы утилизации мусора  путем организации его раздельного сбора. Участница проекта практикует раздельный сбор мусора сначала в своей школе, а затем предлагает транслировать проект во все школы Всеволожского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14:paraId="72BD928E" w14:textId="77777777" w:rsidR="0066644A" w:rsidRPr="00DA6AB7" w:rsidRDefault="0066644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подобных проектов позволяет </w:t>
      </w:r>
      <w:proofErr w:type="gramStart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деловые и личностные качества, а регион формирует резерв из числа высококвалифицированных подготовленных</w:t>
      </w:r>
      <w:r w:rsidR="00115DB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современных условиях кадров.</w:t>
      </w:r>
    </w:p>
    <w:p w14:paraId="6DAC34B7" w14:textId="77777777" w:rsidR="0034772D" w:rsidRPr="00DA6AB7" w:rsidRDefault="00095648" w:rsidP="00666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проектов наставляемых уже активно реализуются в рамках проекта </w:t>
      </w:r>
      <w:r w:rsidR="009E27A8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005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312E54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Ленинградской области.</w:t>
      </w:r>
      <w:r w:rsidR="0066644A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6F3650" w14:textId="04E9BA5A" w:rsidR="0066644A" w:rsidRPr="00DA6AB7" w:rsidRDefault="0066644A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работа по курированию работы  наставнических пар и привлечению новых участников проекта продолжается. В июне комитет провел образовательную площадку для наставнических пар на Межрегиональном молодежном образовательном форуме Северо-Западного федерального округа «Ладога».</w:t>
      </w:r>
      <w:r w:rsidR="00115DB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Наставники-чиновники</w:t>
      </w:r>
      <w:r w:rsidR="00115DB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наставники-бизнесмены Ленинградской обла</w:t>
      </w:r>
      <w:r w:rsidR="007260B6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совместно  с </w:t>
      </w:r>
      <w:proofErr w:type="gramStart"/>
      <w:r w:rsidR="007260B6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="007260B6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</w:t>
      </w:r>
      <w:r w:rsidR="00115DBE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площадке, чтобы получить обратную связь о своих проектах от опытных предпринимателей и экспертов Федерального агентства по делам молодежи. </w:t>
      </w:r>
    </w:p>
    <w:p w14:paraId="7F8348D7" w14:textId="231C45E4" w:rsidR="00CF6728" w:rsidRPr="00DA6AB7" w:rsidRDefault="00CF6728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«Единого Дня Трудоустройства», который прошел на территории учебного комплекса ПАО «Ленэнерго»</w:t>
      </w:r>
      <w:r w:rsidR="0053117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наставников и наставляемых, участвующих в проекте</w:t>
      </w:r>
      <w:r w:rsidR="0053117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организовано «</w:t>
      </w:r>
      <w:proofErr w:type="spellStart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-кафе» - формат кофе-встречи, в рамках которой действующие наставнические группы в неформальной обстановке обсудили  планы  на текущий год по реализации социальных </w:t>
      </w:r>
      <w:r w:rsid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 проектов, а также поделились друг с другом карьерными и профессиональными амбициями.</w:t>
      </w:r>
      <w:proofErr w:type="gramEnd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  <w:r w:rsidR="00531177"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встрече присутствовали 7 наставников и 21 </w:t>
      </w:r>
      <w:proofErr w:type="gramStart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Pr="00DA6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E5FA2" w14:textId="77777777" w:rsidR="0066644A" w:rsidRPr="00DC19D4" w:rsidRDefault="000A4DB7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проектом, который активно реализует служба занятости Ленинградской области, является «</w:t>
      </w:r>
      <w:proofErr w:type="spellStart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целью которого является вовлечение студентов образовательных организаций среднего профессионального и высшего образования </w:t>
      </w:r>
      <w:r w:rsidR="00115DBE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добровольческую деятельность для содействия в профессиональном самоопределении школьников региона.</w:t>
      </w:r>
    </w:p>
    <w:p w14:paraId="72F7C09C" w14:textId="77777777" w:rsidR="000A4DB7" w:rsidRPr="00DC19D4" w:rsidRDefault="000A4DB7" w:rsidP="000A4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отчетный период в 7 образовательных организациях Ленинградской области были проведены выездные обучающие семинары по </w:t>
      </w:r>
      <w:proofErr w:type="spellStart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профориентационному</w:t>
      </w:r>
      <w:proofErr w:type="spellEnd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</w:t>
      </w:r>
      <w:r w:rsidR="00115DBE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студентов Ленинградской области стали профориентационными волонтерами и включились                      в организацию мероприятий службы занятости Ленинградской области по содействию профессиональному </w:t>
      </w:r>
      <w:r w:rsidR="006A598B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определению школьников региона. </w:t>
      </w:r>
    </w:p>
    <w:p w14:paraId="25A51D0E" w14:textId="77777777" w:rsidR="00C55599" w:rsidRPr="00DC19D4" w:rsidRDefault="00C55599" w:rsidP="00C55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был инициирован совет профконсультантов службы занятости Ленинградской области. Данный консультативно-совещательный орган создан в целях повышения профессионализма специалистов службы занятости Ленинградской области, а также выработки предложений и проектных инициатив в сфере профессиональной ориентации граждан, психологической поддержки и социальной адаптации клиентов службы занятости на рынке труда. </w:t>
      </w:r>
    </w:p>
    <w:p w14:paraId="4A5869A4" w14:textId="70CA1151" w:rsidR="00C55599" w:rsidRPr="00DC19D4" w:rsidRDefault="00C55599" w:rsidP="00C55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инициативой совета профконсультантов стало формирование единого базового перечня методик для организации работы по профессиональной ориентации, психологической поддержке, социальной адаптации клиентов службы занятости. </w:t>
      </w:r>
      <w:r w:rsidR="0009564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</w:t>
      </w:r>
      <w:r w:rsid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09564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итоговое совещание, на котором подведены итоги работы за год, определены планы на </w:t>
      </w:r>
      <w:r w:rsid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9564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3CD9A453" w14:textId="13073A61" w:rsidR="00CF6728" w:rsidRPr="00DC19D4" w:rsidRDefault="00531177" w:rsidP="00CF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100 участников слета Губернаторского молодежного трудового отряда Ленинградской области 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провел</w:t>
      </w:r>
      <w:r w:rsidR="003722AF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семинар-тренинг</w:t>
      </w:r>
      <w:r w:rsidR="003722AF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«Меры поддержки молодежи Ленинградской области»,  в рамках которого специалисты в интерактивной форме познаком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ситуацией на рынке труда и 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направленными на поддержку  подростков</w:t>
      </w:r>
      <w:r w:rsid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672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</w:p>
    <w:p w14:paraId="0481E5A3" w14:textId="17574893" w:rsidR="00AB4A3D" w:rsidRPr="00DC19D4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9564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1668</w:t>
      </w:r>
      <w:r w:rsidR="00756E81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14:paraId="06535DC2" w14:textId="77777777" w:rsidR="00AB4A3D" w:rsidRPr="00DC19D4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A2A65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409027" w14:textId="19798A87" w:rsidR="00AB4A3D" w:rsidRPr="00DC19D4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A01719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9E725E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07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DC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C19D4" w:rsidRPr="00DC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648" w:rsidRPr="00DC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301 </w:t>
      </w:r>
      <w:proofErr w:type="spellStart"/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00BFE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E6F63F" w14:textId="77777777" w:rsidR="00C57C2B" w:rsidRPr="00DC19D4" w:rsidRDefault="00FE4CF6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9E725E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564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</w:t>
      </w:r>
      <w:proofErr w:type="spellStart"/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A01719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749B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41818CB4" w14:textId="66C40C8C" w:rsidR="007E32C4" w:rsidRPr="00DC19D4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граждане, стремящиеся возобновить трудовую деятельность после длительного </w:t>
      </w:r>
      <w:r w:rsidR="004D5907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A01719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4D5907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648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proofErr w:type="spellStart"/>
      <w:r w:rsidR="0034772D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DC1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FA99D" w14:textId="77777777" w:rsidR="00AB4A3D" w:rsidRPr="00DC19D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14:paraId="681AA5CE" w14:textId="77777777" w:rsidR="00AB4A3D" w:rsidRPr="00DC19D4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C19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6157AB66" w14:textId="77777777" w:rsidR="00AB4A3D" w:rsidRPr="00600BF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ru-RU"/>
        </w:rPr>
      </w:pPr>
    </w:p>
    <w:p w14:paraId="7B57408B" w14:textId="77777777" w:rsidR="00AB4A3D" w:rsidRPr="00253742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14:paraId="5D540231" w14:textId="0103F60E" w:rsidR="000F4525" w:rsidRPr="00531177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0BFE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739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них:</w:t>
      </w:r>
      <w:r w:rsidR="009E725E" w:rsidRPr="00253742">
        <w:rPr>
          <w:rFonts w:ascii="Times New Roman" w:hAnsi="Times New Roman" w:cs="Times New Roman"/>
          <w:sz w:val="24"/>
          <w:szCs w:val="24"/>
        </w:rPr>
        <w:t xml:space="preserve"> </w:t>
      </w:r>
      <w:r w:rsidR="00600BFE" w:rsidRPr="00253742">
        <w:rPr>
          <w:rFonts w:ascii="Times New Roman" w:hAnsi="Times New Roman" w:cs="Times New Roman"/>
          <w:sz w:val="24"/>
          <w:szCs w:val="24"/>
        </w:rPr>
        <w:t xml:space="preserve"> 969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600BFE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273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600BFE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298 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9E5D22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3722AF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BFE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16-29 лет, 219 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</w:t>
      </w:r>
      <w:r w:rsidR="00600BFE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года) перерыва</w:t>
      </w:r>
      <w:r w:rsid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00BFE" w:rsidRPr="0025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работе.</w:t>
      </w:r>
    </w:p>
    <w:p w14:paraId="7AE4E8A4" w14:textId="77777777" w:rsidR="000F4525" w:rsidRPr="00176F17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ABDC96C" w14:textId="77777777"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1DE5192A" w14:textId="77777777"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9032D6E" w14:textId="77777777" w:rsidR="004A51EC" w:rsidRPr="0002213A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 о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5937D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286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5F113A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749B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16800</w:t>
      </w:r>
      <w:r w:rsidR="008E6EB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человек,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1143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0740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302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816DC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F2D89D" w14:textId="77777777" w:rsidR="00AB4A3D" w:rsidRPr="0002213A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651029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485</w:t>
      </w:r>
      <w:r w:rsidR="00651029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="00D0740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14:paraId="446CB80E" w14:textId="77777777" w:rsidR="00703FC5" w:rsidRPr="0002213A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</w:t>
      </w:r>
      <w:r w:rsidR="00176F1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6431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EF4FD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55342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мини-ярмарк</w:t>
      </w:r>
      <w:r w:rsidR="00176F1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90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03FC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03FC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90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143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972E1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районн</w:t>
      </w:r>
      <w:r w:rsidR="00755342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 – дистанционные</w:t>
      </w:r>
      <w:r w:rsidR="0005255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(скайп)</w:t>
      </w:r>
      <w:r w:rsidR="00D76906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Единый день трудоустройства, который проходил на 18 площадках</w:t>
      </w:r>
      <w:r w:rsidR="00703FC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DDD3B2" w14:textId="77777777" w:rsidR="005D5DCA" w:rsidRPr="0002213A" w:rsidRDefault="00411096" w:rsidP="0037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5255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молодежи, </w:t>
      </w:r>
      <w:r w:rsidR="0044266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</w:t>
      </w:r>
      <w:r w:rsidR="006B042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6B042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5A11C0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176F1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E1018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05255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2667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2555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 организации общественных работ</w:t>
      </w:r>
      <w:r w:rsidR="00AB4A3D" w:rsidRPr="0002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C418F5A" w14:textId="77777777" w:rsidR="009160A0" w:rsidRDefault="009160A0" w:rsidP="009160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7A2569E6" w14:textId="77777777" w:rsidR="009160A0" w:rsidRDefault="009160A0" w:rsidP="009160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5CA6A7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14:paraId="6571FF26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в России».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занятости.</w:t>
      </w:r>
    </w:p>
    <w:p w14:paraId="615654A1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 и для лиц с ограниченными возможностями.</w:t>
      </w:r>
    </w:p>
    <w:p w14:paraId="47F9A00B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14:paraId="4E7DB3FE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комитета публиковались релизы, связанные с популяризацией рабочих профессий, профессионального обучения, велась 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пиар-акция в преддверии «Единого дня трудоустройства» и «Единого дня профориентации».</w:t>
      </w:r>
    </w:p>
    <w:p w14:paraId="476EE3A0" w14:textId="3286E8DE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4437 человек. Количество подписчиков с каждым днем увеличивае</w:t>
      </w:r>
      <w:r w:rsidR="00DB729A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</w:p>
    <w:p w14:paraId="041F4E7D" w14:textId="3F4E6B41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продолжает свою работу профиль комитета в социальной сети «</w:t>
      </w:r>
      <w:proofErr w:type="spell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https://www.instagram.com/ktzn_lo/, где ежедневно публиковались фотоотчеты с мероприятий и краткая информация о прошедших событиях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B729A"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2019 год</w:t>
      </w:r>
      <w:r w:rsidR="00DB729A"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странице «</w:t>
      </w:r>
      <w:proofErr w:type="spellStart"/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размещено 1020 публикаций, в том числе постоянные рубрики комитета – </w:t>
      </w:r>
      <w:proofErr w:type="spellStart"/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работу, </w:t>
      </w:r>
      <w:proofErr w:type="spellStart"/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граждан.</w:t>
      </w:r>
    </w:p>
    <w:p w14:paraId="4012D153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участников. Комитет стремится быть открытым и доступным для всех пользователей Интернета. </w:t>
      </w:r>
    </w:p>
    <w:p w14:paraId="2CF534AC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DB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14:paraId="55F263F4" w14:textId="45829CD0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работодателями.</w:t>
      </w:r>
    </w:p>
    <w:p w14:paraId="4EF16DB1" w14:textId="0E2BE87C" w:rsidR="009160A0" w:rsidRPr="00DB729A" w:rsidRDefault="009160A0" w:rsidP="0091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</w:t>
      </w:r>
      <w:r w:rsid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725 материалов: объявлений о предстоящих ярмарках вакансий,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14:paraId="1F0A0847" w14:textId="77777777" w:rsidR="009160A0" w:rsidRPr="00DB729A" w:rsidRDefault="009160A0" w:rsidP="0091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«Маяк», «Ленинградская биржа труда» и т.д.</w:t>
      </w: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1" w:name="_Toc299357663"/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  <w:proofErr w:type="gramEnd"/>
    </w:p>
    <w:p w14:paraId="5EEC51A0" w14:textId="77777777" w:rsidR="009160A0" w:rsidRPr="00DB729A" w:rsidRDefault="009160A0" w:rsidP="0091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телевизионных канал «Ленинградское областное телевидение», «Ореол».</w:t>
      </w:r>
    </w:p>
    <w:bookmarkEnd w:id="1"/>
    <w:p w14:paraId="2B044C0E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14:paraId="5EE68243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на основе технологии </w:t>
      </w:r>
      <w:proofErr w:type="spell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нацелен на возможность бесплатного доступа к Интернету социально незащищенных категорий населения. </w:t>
      </w:r>
    </w:p>
    <w:p w14:paraId="4C2021A0" w14:textId="77777777" w:rsidR="009160A0" w:rsidRPr="00DB729A" w:rsidRDefault="009160A0" w:rsidP="0091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14:paraId="07B6D670" w14:textId="77777777" w:rsidR="009160A0" w:rsidRPr="00DB729A" w:rsidRDefault="009160A0" w:rsidP="00916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14:paraId="0C4D3BF7" w14:textId="274A29CA" w:rsidR="009160A0" w:rsidRPr="00DB729A" w:rsidRDefault="00DB729A" w:rsidP="0091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0A0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0A0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опубликовано 570 информационных и аналитических материалов. На радио 114 раз размещена информация о вакансиях, информация о предстоящих мероприятиях службы занятости. На телевидении представлено 170 информационных материалов и «бегущих строк» с вакансиями и объявлениями службы занятости.</w:t>
      </w:r>
    </w:p>
    <w:p w14:paraId="126C9D84" w14:textId="77777777" w:rsidR="003722AF" w:rsidRPr="00DB729A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</w:p>
    <w:p w14:paraId="6BE39B81" w14:textId="77777777"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15D199CE" w14:textId="77777777" w:rsidR="003722AF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2"/>
          <w:szCs w:val="16"/>
        </w:rPr>
      </w:pPr>
    </w:p>
    <w:p w14:paraId="4D4525B7" w14:textId="77777777" w:rsidR="005744FE" w:rsidRPr="00DB729A" w:rsidRDefault="002A6C1D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4FE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70C4BA77" w14:textId="4C0B6E6D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безработице выплачено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872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 гражданам, что на 1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576 человек больше, чем за а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налогичный период 2018 года (11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296 человек).</w:t>
      </w:r>
    </w:p>
    <w:p w14:paraId="46325107" w14:textId="1F763127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среднего размера посо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 по безработице составляла 8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215,04 руб.,                              что на 125% больше по сравнению с 201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годом (3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653,05 руб.). </w:t>
      </w:r>
    </w:p>
    <w:p w14:paraId="345808B8" w14:textId="704440B2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Увеличилось количество безработн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граждан, получавших пособие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безработице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38,9%. За аналогичный период 2018 года – 34,5%. </w:t>
      </w:r>
    </w:p>
    <w:p w14:paraId="30534C24" w14:textId="76650760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занятости, составляло 1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173 человека, что на 18 человек меньш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 сравнению с 2018 годом (1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человек). </w:t>
      </w:r>
    </w:p>
    <w:p w14:paraId="069CDDFE" w14:textId="77777777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составляла 4 964,9 руб. (за 2018 год – 2 228,07 руб.).</w:t>
      </w:r>
    </w:p>
    <w:p w14:paraId="6A37E3E7" w14:textId="48AE0CF6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Снизилось количество граждан, получавших стипендию в минимальном размере. Доля этой категории граждан за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 2019 года – 54,2%,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аналогичном периоде 2018 года – 59,3%.</w:t>
      </w:r>
    </w:p>
    <w:p w14:paraId="7D2EF280" w14:textId="657A6E9B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80 безработным гражданам, за аналогичный период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–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137 безработным гражданам.</w:t>
      </w:r>
    </w:p>
    <w:p w14:paraId="3C71EBBA" w14:textId="4ADFDF31" w:rsidR="005744FE" w:rsidRPr="00DB729A" w:rsidRDefault="005744FE" w:rsidP="0057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Материальная помощь в период прохожде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профессионального обучения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дополнительного профессионального образования по направлению органов службы занятости оказана 77  гражданам, 2018 год – 78 гражданам. </w:t>
      </w:r>
    </w:p>
    <w:p w14:paraId="27C57013" w14:textId="09824414" w:rsidR="003722AF" w:rsidRPr="00DB729A" w:rsidRDefault="005744FE" w:rsidP="00DB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истечением установленного периода выплаты пособия по безработице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гражданину, в 2018 году – 2 гражданам.</w:t>
      </w:r>
      <w:r w:rsidR="00E214AF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69575A" w14:textId="77777777" w:rsidR="003722AF" w:rsidRDefault="003722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5048F85A" w14:textId="77777777" w:rsidR="003722AF" w:rsidRPr="003722AF" w:rsidRDefault="003722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1A6C7AAD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4EAAFA7D" w14:textId="77777777"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1C4BB8" w14:textId="62BC929A" w:rsidR="001403C1" w:rsidRPr="00DB729A" w:rsidRDefault="00DB729A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20 соглашений в сфере труда 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380 коллективных договоров, 26 из них – впервые. </w:t>
      </w:r>
    </w:p>
    <w:p w14:paraId="33918D0A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01.01.2020 в Ленинградской области действуют 38 соглашений в сфере труда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1203 коллективных договора организаций области. Численность работников, охваченных коллективными договорами, составляет 182,3 тыс. человек. </w:t>
      </w:r>
    </w:p>
    <w:p w14:paraId="2A1D933D" w14:textId="6BA006A7" w:rsidR="00A56BEC" w:rsidRPr="00DB729A" w:rsidRDefault="00E50E87" w:rsidP="0065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</w:t>
      </w:r>
      <w:r w:rsidR="008933F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</w:t>
      </w:r>
      <w:r w:rsidR="008933F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</w:t>
      </w:r>
      <w:r w:rsidR="008933F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6BF9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BF9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проводимых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DF6BF9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социального партнерства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BF9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2019 года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Правитель</w:t>
      </w:r>
      <w:r w:rsidR="00DA2ED0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Ленинградской области </w:t>
      </w:r>
      <w:r w:rsidR="00A56BEC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Губернатором Ленинградской области, председателем общественной организации Межрегиональное Санкт-Петербурга и Ленинградской области объединение организаций профсоюзов «Ленинградская Федерация Профсоюзов» и президентом регионального объединения работодателей «Союз промышленников и предпринимателей Ленинградской области» </w:t>
      </w:r>
      <w:r w:rsidR="00DA2ED0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46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соглашение о минимальной заработной плате в Ленинградской области на 2020</w:t>
      </w:r>
      <w:proofErr w:type="gramEnd"/>
      <w:r w:rsidR="00657846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66E9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Региональное соглашение) </w:t>
      </w:r>
      <w:r w:rsidR="00657846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657846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на 2020 год к Ленинградскому областному трехстороннему соглашению о проведении социально-экономической политики и развитии социального партнерства на 2019-2021 годы</w:t>
      </w:r>
      <w:r w:rsidR="00B63F5A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Обязательства сторон на 2020 год)</w:t>
      </w:r>
      <w:r w:rsidR="001403C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751E57" w14:textId="324117DE" w:rsidR="00A56BEC" w:rsidRPr="00DB729A" w:rsidRDefault="00F66E91" w:rsidP="00A56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с</w:t>
      </w:r>
      <w:r w:rsidR="00A56BEC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установлен в Ленинградской области размер минимальной заработной платы с 1 января 2020 года в сумме 12 800 рублей. При этом тарифная ставка рабочего (работника) 1 разряда, оклад (должностной оклад), ставка заработной платы работника не должна быть менее 9 940 рублей.</w:t>
      </w:r>
    </w:p>
    <w:p w14:paraId="4430D6B7" w14:textId="37048D5A" w:rsidR="00A56BEC" w:rsidRPr="00DB729A" w:rsidRDefault="00A56BEC" w:rsidP="00A56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размер минимальной заработной платы не является ограничением для реализации более высоких гарантий по оплате труда, и включает минимальную сумму выплат работнику, отработавшему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(оклад), или оплату труда по бестарифной системе, а также доплаты, надбавки, премии и другие выплаты, за исключением выплат, производимых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152, 153, 154 Трудового Кодекса Российской Федерации.</w:t>
      </w:r>
    </w:p>
    <w:p w14:paraId="55D7BB63" w14:textId="38EFECED" w:rsidR="00F66E91" w:rsidRPr="00DB729A" w:rsidRDefault="00F66E91" w:rsidP="00A56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</w:t>
      </w:r>
      <w:r w:rsidR="00CA26B5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соглашение одновременно с обращением руководителя уполномоченного органа – председателя комитета по труду и занятости населения Ленинградской области к работодателям региона о присоединении к Соглашению официально опубликованы в газете «Вести» от 04.12.2019 № 93, а также размещены на официальном портале Администрации Ленинградской области и на официальном сайте комитета.</w:t>
      </w:r>
    </w:p>
    <w:p w14:paraId="33065EFF" w14:textId="5DE455DC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494B0F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494B0F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трехсторонней комиссии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</w:t>
      </w:r>
      <w:r w:rsidR="00494B0F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президиума ЛОТК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рассматривались вопросы:</w:t>
      </w:r>
    </w:p>
    <w:p w14:paraId="16772B17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2019 году;</w:t>
      </w:r>
    </w:p>
    <w:p w14:paraId="74BCCBA6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детской оздоровительной компании в 2019 году и совершенствовании нормативной правовой базы, регулирующей вопросы оздоровления детей в Ленинградской области;</w:t>
      </w:r>
    </w:p>
    <w:p w14:paraId="09DD8549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14:paraId="124EFD3E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с работодателями по созданию рабочих мест для трудоустройства инвалидов;</w:t>
      </w:r>
    </w:p>
    <w:p w14:paraId="7B55DE14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регламента работы Ленинградской областной трехсторонней комиссии по регулированию социально-трудовых отношений;</w:t>
      </w:r>
    </w:p>
    <w:p w14:paraId="2835AC10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 по обеспечению занятости граждан предпенсионного возраста;</w:t>
      </w:r>
    </w:p>
    <w:p w14:paraId="2E16B2F6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2018 году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на 2019 год;</w:t>
      </w:r>
    </w:p>
    <w:p w14:paraId="37DC5658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трудовой миграции в Ленинградской области, в том числе о стоимости в 2019 году авансового платежа за патент на осуществление трудовой деятельности иностранными гражданами на территории Ленинградской области;</w:t>
      </w:r>
    </w:p>
    <w:p w14:paraId="1AE932AE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транспортной системы в Ленинградской области в 2019 году;</w:t>
      </w:r>
    </w:p>
    <w:p w14:paraId="7F4A0656" w14:textId="1C9BD456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проектах </w:t>
      </w:r>
      <w:r w:rsidR="00BC7D88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2020 год и Регионального соглашения;</w:t>
      </w:r>
    </w:p>
    <w:p w14:paraId="55E21C3C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областного закона «Об охране труда в Ленинградской области»;</w:t>
      </w:r>
    </w:p>
    <w:p w14:paraId="5E620189" w14:textId="5604359E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руководителей сторон социального партнерства Ленинградской области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главам администраций муниципальных районов и городского округа Ленинградской области, руководителям организаций всех форм собственности, профсо</w:t>
      </w:r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юзным организациям;</w:t>
      </w:r>
    </w:p>
    <w:p w14:paraId="2EA39E7F" w14:textId="7750F7A2" w:rsidR="008858A3" w:rsidRPr="00DB729A" w:rsidRDefault="00E25A5B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параметрах проекта областного бюджета Ленинградской области на 2020 год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2021 и 2022 годов;</w:t>
      </w:r>
    </w:p>
    <w:p w14:paraId="24D53946" w14:textId="0A50D33D" w:rsidR="008858A3" w:rsidRPr="00DB729A" w:rsidRDefault="00E25A5B" w:rsidP="0088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подписании проектов </w:t>
      </w:r>
      <w:r w:rsidR="00BC7D88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</w:t>
      </w:r>
      <w:proofErr w:type="gramStart"/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8858A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2020 год и Регионального соглашения</w:t>
      </w:r>
      <w:r w:rsidR="00B63F5A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755AA2" w14:textId="6320FA8A" w:rsidR="00BC7D88" w:rsidRPr="00DB729A" w:rsidRDefault="00E25A5B" w:rsidP="00BC7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7D88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на безвозмездной основе субъектами малого и среднего предпринимательства и (или) гражданами, достигшими возраста 18 лет, планирующими открыть собственный бизнес, информационной и консультационной поддержки, в том числе в сфере трудового законодательства и трудовых взаимоотношений в организациях муниципальной инфраструктуры поддержки предпринимательства Ленинградской области;</w:t>
      </w:r>
    </w:p>
    <w:p w14:paraId="3A5912B8" w14:textId="26251D02" w:rsidR="00BC7D88" w:rsidRPr="00DB729A" w:rsidRDefault="00E25A5B" w:rsidP="00BC7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7D88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условий и охраны труда в организациях Ленинградской области</w:t>
      </w:r>
      <w:r w:rsidR="009C5E4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E93FCD" w14:textId="5B03E56D" w:rsidR="00BC7D88" w:rsidRPr="00DB729A" w:rsidRDefault="00E25A5B" w:rsidP="009C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5E4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обеспечении экологической безопасности населения и территории в Ленинградской области;</w:t>
      </w:r>
    </w:p>
    <w:p w14:paraId="4863B881" w14:textId="79FCC3ED" w:rsidR="009C5E43" w:rsidRPr="00DB729A" w:rsidRDefault="00E25A5B" w:rsidP="009C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5E43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областного закона «Об оплате труда работников государственных учреждений Ленинградской области»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E1D981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заседание комиссии по обеспечению устойчивого развития экономики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социальной стабильности 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 по рассмотрению ситуации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задолженностью по заработной плате в организациях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14:paraId="236229EB" w14:textId="7C8913A5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года, которая утверждена Постановлением Правительства Ленинградской области от 15.02.2019 № 56, за 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Постановление Правительства Ленинградск</w:t>
      </w:r>
      <w:r w:rsidR="00E25A5B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10.06.2019 № 263,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Постановлением Правительства Ленинградской области от 23.08.2019 № 382</w:t>
      </w:r>
      <w:r w:rsidR="00E25A5B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</w:t>
      </w:r>
      <w:r w:rsidR="005F6811" w:rsidRPr="00DB7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F681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Постановлением Правительства Ленинградской</w:t>
      </w:r>
      <w:proofErr w:type="gramEnd"/>
      <w:r w:rsidR="005F6811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FE30EE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25.11.2019 № 546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EE02F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27.02.2019 № 76.</w:t>
      </w:r>
    </w:p>
    <w:p w14:paraId="721B2D4F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Распоряжение Губернатора Ленинградской области «Об организации работы по выполнению Ленинградского областного трехстороннего соглашения о проведении социально-экономической политики и развитии социального партнерства на 2019-2021 годы и обязатель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 год» от 01.02.2019 № 61-рг.</w:t>
      </w:r>
    </w:p>
    <w:p w14:paraId="17A61F6C" w14:textId="4AB69108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Распоряжение Губернатора Ленинградской области «О внесении изменений 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20 апреля 2018 года № 229-рг </w:t>
      </w:r>
      <w:r w:rsid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проектов Ленинградского областного трехстороннего соглашения  о проведении социально-экономической политики и развитии социального партнерства на 2019-2021 годы</w:t>
      </w:r>
      <w:r w:rsid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ежегодных обязатель</w:t>
      </w:r>
      <w:proofErr w:type="gramStart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2019, 2020, 2021 годы» от 17.05.2019 № 362-рг.</w:t>
      </w:r>
    </w:p>
    <w:p w14:paraId="5B101F1D" w14:textId="27901921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Распоряжение Губернатора Ленинградской области «О внесении изменений </w:t>
      </w:r>
      <w:r w:rsid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16 ноября 2012 года № 729-рг </w:t>
      </w:r>
      <w:r w:rsid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представителей Правительства Ленинградской области в Ленинградской областной трехсторонней комиссии по регулированию социально-трудовых отношений» </w:t>
      </w:r>
      <w:r w:rsid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2019 года № 621-рг.</w:t>
      </w:r>
    </w:p>
    <w:p w14:paraId="006B76FB" w14:textId="48A25CBE" w:rsidR="002C605E" w:rsidRPr="00DB729A" w:rsidRDefault="002C605E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Распоряжение Губернатора Ленинградской области «Об организации работы по выполнению 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на 2020 год к 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трехсторонне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социально-экономической политики и развитии социального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на 2019-2021 годы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30.2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2.2019 № </w:t>
      </w:r>
      <w:r w:rsidR="00E42B42"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1056</w:t>
      </w: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-рг.</w:t>
      </w:r>
    </w:p>
    <w:p w14:paraId="1486942C" w14:textId="77777777" w:rsidR="001403C1" w:rsidRPr="00DB729A" w:rsidRDefault="001403C1" w:rsidP="001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Продолжено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положений Регионального соглашения о минимальной заработной плате в Ленинградской области на 2019 год.</w:t>
      </w:r>
    </w:p>
    <w:p w14:paraId="69486704" w14:textId="77777777"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F67F" w14:textId="77777777"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68912B25" w14:textId="77777777"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6BD279E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9913839"/>
      <w:bookmarkStart w:id="3" w:name="_Hlk29913422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Ленинградской области в целом сохраняется положительная тенденция                     на снижение производственного травматизма.</w:t>
      </w:r>
    </w:p>
    <w:p w14:paraId="41A5A892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2020 года на территории Ленинградской области осуществляли свою деятельность 40 989 организаций различных организационно-правовых форм собственности (по данным ФСС). Общая численность работающих в этих организациях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состовляет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334 893 человека.</w:t>
      </w:r>
    </w:p>
    <w:p w14:paraId="0B40D085" w14:textId="36019673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 произошло 397 несчастных случаев, что на 11% меньше чем за прошлый год, из них тяжелых – 52 и смертельных – 17.</w:t>
      </w:r>
    </w:p>
    <w:p w14:paraId="508C2BDF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целях обеспечения реализации прав работников на получение объективной информации об условиях и охране труда на рабочих местах:</w:t>
      </w:r>
    </w:p>
    <w:p w14:paraId="2C7BF4A3" w14:textId="456BDAE2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16 государственных экспертиз условий труда в целях 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827 рабочих местах, с количеством занятых на них работников – 926 человек. 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16 заключений государственной экспертизы условий труда, что составило 100% от количества обращений;</w:t>
      </w:r>
      <w:proofErr w:type="gramEnd"/>
    </w:p>
    <w:p w14:paraId="2A64D6E6" w14:textId="2FAEBAC0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 </w:t>
      </w:r>
    </w:p>
    <w:p w14:paraId="79950C8B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проведения специальной оценки условий труда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за указанный период 4418 организации Ленинградской области провели специальную оценку условий труда (далее - СОУТ) на 100 506 рабочих местах. Общее количество занятых на этих местах работников – 123 528 человек. Количество декларируемых рабочих мест – 70 448 единиц.</w:t>
      </w:r>
    </w:p>
    <w:p w14:paraId="660F2C47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14:paraId="6F227C54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оптимальными и допустимыми (класс 1 и 2) условия труда признаны на 84 801 рабочем месте для 99 023 работников;</w:t>
      </w:r>
    </w:p>
    <w:p w14:paraId="190888DF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условий труда 3.1. установлен на 9 246 рабочих местах для 14 010 работников;</w:t>
      </w:r>
    </w:p>
    <w:p w14:paraId="77778B21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условий труда 3.2. установлен на 5 449 рабочих местах для 8 782 работников;</w:t>
      </w:r>
    </w:p>
    <w:p w14:paraId="40217310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класс условий труда 3.3. установлен на 802 рабочих местах для 1 209 работников;</w:t>
      </w:r>
    </w:p>
    <w:p w14:paraId="5E48133D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условий труда 3.4. - установлен на 27 рабочих местах для 60 работников;</w:t>
      </w:r>
    </w:p>
    <w:p w14:paraId="0E16F09E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условий труда 4. (опасный) установлен на 181 рабочем месте для 444 работников.</w:t>
      </w:r>
    </w:p>
    <w:p w14:paraId="21198EA1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 143 организации, аккредитованные в Минтруд России.</w:t>
      </w:r>
    </w:p>
    <w:p w14:paraId="6C8176ED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 организованы и проведены 4 выездных заседания Ленинградской областной Межведомственной комиссии по охране труда, на которых рассмотрены следующие вопросы:</w:t>
      </w:r>
      <w:proofErr w:type="gramEnd"/>
    </w:p>
    <w:p w14:paraId="3DBC4408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производственного травматизма в организациях Ленинградской области в 2018 году»; </w:t>
      </w:r>
    </w:p>
    <w:p w14:paraId="7A8AA9F7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труда, профессиональной заболеваемости, организации и проведении периодических медицинских осмотров на промышленных предприятиях Ленинградской области в 2018 году»;</w:t>
      </w:r>
    </w:p>
    <w:p w14:paraId="34A75860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состоянии условий и охраны труда, производственного травматизма и профессиональной заболеваемости в организациях на территории муниципального образования «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области»; </w:t>
      </w:r>
    </w:p>
    <w:p w14:paraId="12F62715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совершенствовании подготовки специалистов по охране труда в контексте требований профессионального стандарта «специалист по охране труда» и концепции «Ноль несчастных случаев»; </w:t>
      </w:r>
    </w:p>
    <w:p w14:paraId="0845F9B1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АО «КНАУФ ПЕТРОБОРД»;</w:t>
      </w:r>
    </w:p>
    <w:p w14:paraId="7F88C374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труда, профессиональной заболеваемости и проведении периодических медицинских осмотров на предприятиях сельского хозяйства Ленинградской области»;</w:t>
      </w:r>
    </w:p>
    <w:p w14:paraId="3CBF3645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медицинской профилактики профессиональной заболеваемости в организациях Ленинградской области за 2018 год»;</w:t>
      </w:r>
    </w:p>
    <w:p w14:paraId="0E91DBF2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и охраны труда, производственного травматизма и профессиональной заболеваемости в организациях на территории Всеволожского муниципального района Ленинградской области»;</w:t>
      </w:r>
    </w:p>
    <w:p w14:paraId="0CAF9574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условий и охраны труда, производственного травматизма и профессиональной заболеваемости в организациях на территории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Ленинградской области»;</w:t>
      </w:r>
    </w:p>
    <w:p w14:paraId="47054201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итогах работы Федерации профсоюзов Ленинградской области в 2018 году по осуществлению 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законодательства в сфере охраны труда»; </w:t>
      </w:r>
    </w:p>
    <w:p w14:paraId="2FC2096A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Катерпиллар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Тосно»;</w:t>
      </w:r>
    </w:p>
    <w:p w14:paraId="41EFF44F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производственного травматизма в организациях жилищно-коммунального хозяйства Ленинградской области»;</w:t>
      </w:r>
    </w:p>
    <w:p w14:paraId="2D7C5B82" w14:textId="58DA8801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принимаемых мерах по улучшению качества проведения предварительных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периодических медицинских осмотров работающего населения в учреждениях здравоохранения Ленинградской области»;</w:t>
      </w:r>
    </w:p>
    <w:p w14:paraId="16CF57C8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оценка квалификации работников социально-трудовой сферы. Профессиональный стандарт «Специалист в области охраны труда»;</w:t>
      </w:r>
    </w:p>
    <w:p w14:paraId="2B67470F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и охраны труда, производственного травматизма и профессиональной заболеваемости в организациях на территории муниципального образования «Кировский муниципальный район Ленинградской области»;</w:t>
      </w:r>
    </w:p>
    <w:p w14:paraId="341DD527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«КИНЕФ»»;</w:t>
      </w:r>
    </w:p>
    <w:p w14:paraId="778716AD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выполнении решения Ленинградской областной межведомственной комиссии по охране труда по вопросу: «О выполнении мероприятий в Ленинградской области, направленных на снижение канцерогенной опасности»;</w:t>
      </w:r>
    </w:p>
    <w:p w14:paraId="147DDF10" w14:textId="52A07FA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производственного травматизма и выполнении мероприятий по предупреждению и устранению причин тяжелых, групповых несчастных случаев и несчастных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случаев со смертельным исходом, происшедших в организациях Ленинградской области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году»;</w:t>
      </w:r>
    </w:p>
    <w:p w14:paraId="3BE3382A" w14:textId="724E1C15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итогах проведения специальной оценки условий труда за период с 2014 по 2018 годы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свою деятельность на территории Ленинградской области»;</w:t>
      </w:r>
    </w:p>
    <w:p w14:paraId="16EE6473" w14:textId="3998397B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плане работы Ленинградской областной межведомственной комиссии по охране труда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год»;</w:t>
      </w:r>
    </w:p>
    <w:p w14:paraId="5290444D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Нокиан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Тайерс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14:paraId="0399247B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комиссии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 и благополучия человека по Ленинградской области, общественной организации «Межрегиональное Санкт-Петербурга и Ленинградской области объединение организаций профсоюзов</w:t>
      </w:r>
      <w:proofErr w:type="gram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патологии».</w:t>
      </w:r>
    </w:p>
    <w:p w14:paraId="25192261" w14:textId="3A5D9FA6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 22 обучающими организациями. По итогам проведенного мониторинга на территории Ленинградской области за 2019 год прошли обучение и проверку знаний требований охраны труда 9453 человека. По государственной программе, за счёт выделенных средств, было обучено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человек.</w:t>
      </w:r>
    </w:p>
    <w:p w14:paraId="5048B6B5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в 2019 году организованы и проведены мероприятия по охране труда, в том числе: </w:t>
      </w:r>
    </w:p>
    <w:p w14:paraId="109624EF" w14:textId="34C26ADD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выездных семинаров по охране труда для руководителей и специалистов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Выборгского,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Гатчинского,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Тихвинского,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Ломоносовского,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Всеволожского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Кировского  муниципальных районов по теме: «Основные тенденции развития и методы совершенствования трудового законодательства в области охраны труда», в которых приняли участие 1512 человек;</w:t>
      </w:r>
    </w:p>
    <w:p w14:paraId="6B139CDE" w14:textId="556B329A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 интерактивных обучающих семинаров «Территория безопасного труда»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производственного травматизма с использованием мобильного комплекса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в учебных заведениях Ленинградской области, с общим количеством участников – 1016 человек;</w:t>
      </w:r>
    </w:p>
    <w:p w14:paraId="6A75EBC1" w14:textId="0C8123DA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проведены 2 конкурса по охране труда «Лучший работодатель Ленинградской области»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«Лучший специалист по охране труда Ленинградской области». Подведение итогов происходило в рамках проведения Ленинградского областного конгресса по охране труда;</w:t>
      </w:r>
    </w:p>
    <w:p w14:paraId="48E235BC" w14:textId="7BFF3715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 декабря 2019 года был проведен очередной Ленинградский областной конгресс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труда. В рамках конгресса состоялось пленарное заседание на тему «Опасная зона –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в русскую рулетку» с участием представителей органов исполнительной власти, а также были организованы 4 секции по следующим направлениям:</w:t>
      </w:r>
    </w:p>
    <w:p w14:paraId="29345958" w14:textId="2581EDA2" w:rsidR="003369E1" w:rsidRPr="003369E1" w:rsidRDefault="00945249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«Нагрузка на бизнес»; </w:t>
      </w:r>
    </w:p>
    <w:p w14:paraId="58545BF6" w14:textId="7B2DE19F" w:rsidR="003369E1" w:rsidRPr="003369E1" w:rsidRDefault="00945249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«Переход на электронные трудовые книжки»;</w:t>
      </w:r>
    </w:p>
    <w:p w14:paraId="3758C1C9" w14:textId="3FCAD6BD" w:rsidR="003369E1" w:rsidRPr="003369E1" w:rsidRDefault="00945249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«Корпоративные ЗОЖ-программы как инструмент повышения надежности трудовой деятельности»;</w:t>
      </w:r>
    </w:p>
    <w:p w14:paraId="630F188E" w14:textId="009E7D7D" w:rsidR="003369E1" w:rsidRPr="003369E1" w:rsidRDefault="00945249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</w:t>
      </w:r>
      <w:proofErr w:type="gramStart"/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»ж</w:t>
      </w:r>
      <w:proofErr w:type="gramEnd"/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="003369E1"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охраны труда».</w:t>
      </w:r>
    </w:p>
    <w:p w14:paraId="552DE5F0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конгрессе приняли участия территориальные органы Федеральной службы по труду                  и занятости, органы исполнительной власти Ленинградской области, работодатели Ленинградской области, специалисты в области безопасности и охраны труда.</w:t>
      </w:r>
    </w:p>
    <w:p w14:paraId="5CDB06AC" w14:textId="77777777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комитета приняли участие в работе комиссий по расследованию                             48 несчастных случаев на производстве с тяжёлым и смертельным исходом в организациях Ленинградской области.</w:t>
      </w:r>
    </w:p>
    <w:p w14:paraId="599BD032" w14:textId="301EC6EE" w:rsidR="003369E1" w:rsidRPr="003369E1" w:rsidRDefault="003369E1" w:rsidP="0033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молочную продукцию в Ленинградской области (по данным </w:t>
      </w:r>
      <w:proofErr w:type="spellStart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Петростата</w:t>
      </w:r>
      <w:proofErr w:type="spellEnd"/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осуществления компенсационной выплаты в размере, эквивалентном стоимости молока</w:t>
      </w:r>
    </w:p>
    <w:p w14:paraId="22785542" w14:textId="5AC8BA05" w:rsidR="003369E1" w:rsidRPr="003369E1" w:rsidRDefault="003369E1" w:rsidP="00F5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на территории Ленинградской области продолжена работа по информированию и стимулированию работодателей, направленная на реализацию предупредительных</w:t>
      </w:r>
      <w:r w:rsidR="00F5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производственного травматизма за счет средств Фонда социального с</w:t>
      </w:r>
      <w:r w:rsidR="00F51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трахования Российской Федерации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отчетном году из средств Фонда социального страхования Российской Федерации на финансовое обеспечение предупредительных мер в Ленинградской области было направлено 217024,35 тыс. рублей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профинансированы мероприятия по предупреждению производственного травматизма</w:t>
      </w:r>
      <w:r w:rsidR="009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9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профессиональных заболеваний в Ленинградской области</w:t>
      </w:r>
      <w:r w:rsidR="00F51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DB892C" w14:textId="77777777" w:rsidR="00AA6C16" w:rsidRPr="00E10188" w:rsidRDefault="00AA6C16" w:rsidP="00AA6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30F86" w14:textId="77777777" w:rsidR="00AB4A3D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0A2761E6" w14:textId="77777777" w:rsidR="00896E28" w:rsidRPr="00E15DC4" w:rsidRDefault="00896E28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6D437AB" w14:textId="7C0CC3A0" w:rsidR="00FF7741" w:rsidRPr="00F51266" w:rsidRDefault="00F51266" w:rsidP="00877CC6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21358279"/>
      <w:bookmarkStart w:id="5" w:name="_Hlk517869672"/>
      <w:bookmarkStart w:id="6" w:name="_Hlk526757651"/>
      <w:bookmarkStart w:id="7" w:name="_Hlk52675774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по вопросам миграции ГУ МВД России 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Санкт-Петербургу и Ленинградской области (далее – УВМ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было оформлено 1164 разрешения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работу иностранным гражданам</w:t>
      </w:r>
      <w:r w:rsidR="00877CC6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выдано 1143 разрешения на работу.</w:t>
      </w:r>
    </w:p>
    <w:p w14:paraId="36685F02" w14:textId="52251CFB" w:rsidR="00FF7741" w:rsidRPr="00F51266" w:rsidRDefault="00F51266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УВМ оформлено 62392 патента, выдано 62105 патентов иностранным гражданам по Ленинградской области.</w:t>
      </w:r>
    </w:p>
    <w:p w14:paraId="5D1198EE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0724CE10" w14:textId="24389574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 – 42727 чел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(68,8%);</w:t>
      </w:r>
    </w:p>
    <w:p w14:paraId="2A01E8FF" w14:textId="6967D920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Таджикистан – 15603 </w:t>
      </w:r>
      <w:r w:rsidR="00F51266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(25,1%);</w:t>
      </w:r>
    </w:p>
    <w:p w14:paraId="2654466B" w14:textId="69A91501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Украина – 2607 </w:t>
      </w:r>
      <w:r w:rsidR="00F51266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(4,2%);</w:t>
      </w:r>
    </w:p>
    <w:p w14:paraId="0A1E512A" w14:textId="55771260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Молдова – 775 </w:t>
      </w:r>
      <w:r w:rsidR="00F51266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(1,3%);</w:t>
      </w:r>
    </w:p>
    <w:p w14:paraId="481C6703" w14:textId="7242EF0D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Азербайджан – 390 </w:t>
      </w:r>
      <w:r w:rsidR="00F51266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(0,6%);</w:t>
      </w:r>
    </w:p>
    <w:p w14:paraId="04A8C51F" w14:textId="407302F2" w:rsidR="00FF7741" w:rsidRPr="00F51266" w:rsidRDefault="00F51266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ица без гражданства – 3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285C80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99EE05F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с 01.01.2019 аннулировано 1238 патентов иностранным гражданам, отказано </w:t>
      </w:r>
      <w:r w:rsidR="00102A5E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выдаче патентов 994 иностранным гражданам.</w:t>
      </w:r>
    </w:p>
    <w:p w14:paraId="3F127980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32137 уведомлений о привлечении к трудовой деятельности иностранных граждан на территории Ленинградской области, в том числе:</w:t>
      </w:r>
    </w:p>
    <w:p w14:paraId="42CBE6F0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24421 – на основании патентов;</w:t>
      </w:r>
    </w:p>
    <w:p w14:paraId="23674AF3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493 – на основании разрешения на работу;</w:t>
      </w:r>
    </w:p>
    <w:p w14:paraId="4CB303E0" w14:textId="3B74AC18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7223 уведомлени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иностранными гражданами трудовой деятельности без получения разрешительных документ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в том числе 6030 уведомлений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трудовой деятельности иностранными гражданами из стран – участников Евразийского экономического союза. </w:t>
      </w:r>
    </w:p>
    <w:p w14:paraId="0AA879AD" w14:textId="05FADAA1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 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 по патентам):</w:t>
      </w:r>
    </w:p>
    <w:p w14:paraId="7C509864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29,1%; </w:t>
      </w:r>
    </w:p>
    <w:p w14:paraId="3AF33D86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23,9%; </w:t>
      </w:r>
    </w:p>
    <w:p w14:paraId="208C07A3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изделий и предметов личного производства – 10,1%;</w:t>
      </w:r>
    </w:p>
    <w:p w14:paraId="370DB668" w14:textId="06E603F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операции с недвижимым имуществом, аренда и предоставление прочих услуг – 5,4%; </w:t>
      </w:r>
    </w:p>
    <w:p w14:paraId="241B847B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 и связь – 12,4%; </w:t>
      </w:r>
    </w:p>
    <w:p w14:paraId="4EB62E36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хозяйство, охота и лесное хозяйство – 12,8%; </w:t>
      </w:r>
    </w:p>
    <w:p w14:paraId="3E17AB0E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гостиниц и ресторанов – 3,9%;  </w:t>
      </w:r>
    </w:p>
    <w:p w14:paraId="2D09FEF8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иные – 2,4%. </w:t>
      </w:r>
    </w:p>
    <w:p w14:paraId="7387437C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Наибольшее количество иностранных граждан привлечено к трудовой деятельности </w:t>
      </w:r>
      <w:r w:rsidR="00102A5E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профессиям:</w:t>
      </w:r>
    </w:p>
    <w:p w14:paraId="2734F29F" w14:textId="7C80673B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подсобный 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 – 64,4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54C79EE" w14:textId="5A53AE22" w:rsidR="00FF7741" w:rsidRPr="00F51266" w:rsidRDefault="00F51266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 – 2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51EE73D4" w14:textId="35AFEB60" w:rsidR="00FF7741" w:rsidRPr="00F51266" w:rsidRDefault="00F51266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автомобиля – 1,7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43DE7A16" w14:textId="4BB94076" w:rsidR="00FF7741" w:rsidRPr="00F51266" w:rsidRDefault="00F51266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плотник – 1,5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48FE7150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животновод – 0,97 %;</w:t>
      </w:r>
    </w:p>
    <w:p w14:paraId="644DE34D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продовольственных товаров – 0,97%;</w:t>
      </w:r>
    </w:p>
    <w:p w14:paraId="1B15E7A1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 – 0,95%;</w:t>
      </w:r>
    </w:p>
    <w:p w14:paraId="3263B91F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вязальщик схемных жгутов, кабелей и шнуров – 0,90%;</w:t>
      </w:r>
    </w:p>
    <w:p w14:paraId="36C1A57E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грузчик – 0,86%;</w:t>
      </w:r>
    </w:p>
    <w:p w14:paraId="3DF69456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маляр – 0,86%; </w:t>
      </w:r>
    </w:p>
    <w:p w14:paraId="37A57E9C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обработчик рыбы – 0,86%;</w:t>
      </w:r>
    </w:p>
    <w:p w14:paraId="62F6F891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 по уходу за животными – 0,75%;</w:t>
      </w:r>
    </w:p>
    <w:p w14:paraId="37AAC0F9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 машинного доения – 0,73%;</w:t>
      </w:r>
    </w:p>
    <w:p w14:paraId="2CB9D252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тракторист – 0,70%;</w:t>
      </w:r>
    </w:p>
    <w:p w14:paraId="6FC660AA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бетонщик – 0,68% и другие.</w:t>
      </w:r>
    </w:p>
    <w:p w14:paraId="679870A2" w14:textId="1F7C29C0" w:rsidR="002A1CC6" w:rsidRPr="00F51266" w:rsidRDefault="002A1CC6" w:rsidP="002A1CC6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в виде фиксированных авансовых платежей, полученных физическими лицами, являющимися иностранными гражданами 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1 858361,9 тыс. руб., что на 1,5% меньше суммы, полученной за аналогичный период прошлого года.</w:t>
      </w:r>
    </w:p>
    <w:p w14:paraId="0219EE47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по Ленинградской области, ГУ МВД России по Санкт-Петербургу и</w:t>
      </w:r>
      <w:proofErr w:type="gramEnd"/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14:paraId="37D6D48A" w14:textId="795A6411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Ленинградской области, а также заявки работодателей о формировании квот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выдачу разрешений на работу иностранным работникам из стран с визовым порядком въезда 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Ленинградскую область.</w:t>
      </w:r>
    </w:p>
    <w:p w14:paraId="19407AC7" w14:textId="7B3C7CCD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состоялось 10 заседаний МВК, в том ч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исле 1 </w:t>
      </w:r>
      <w:proofErr w:type="gramStart"/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заочное</w:t>
      </w:r>
      <w:proofErr w:type="gramEnd"/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которых были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рассмотрены 65 заяв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работодателей о потребности 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привлечении иностранных работников на тер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ритории Ленинградской области,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числе: </w:t>
      </w:r>
    </w:p>
    <w:p w14:paraId="59B2E6D4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заявок работодателей для формирования корректировок квоты 2019 года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сторону увеличения на 832 разрешения на работу;</w:t>
      </w:r>
    </w:p>
    <w:p w14:paraId="3F4E383E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заявок работодателей для формирования корректировки квоты 2019 года в сторону уменьшения на 1040 разрешений на работу</w:t>
      </w:r>
    </w:p>
    <w:p w14:paraId="36D08B93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заявок работодателей для формирования квоты 2020 года на привлечение 793 иностранных работников;</w:t>
      </w:r>
    </w:p>
    <w:p w14:paraId="79875333" w14:textId="77777777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заявок работодателя для формирования корректировки квоты 2020 года на привлечение 1714 иностранных работников.</w:t>
      </w:r>
    </w:p>
    <w:p w14:paraId="578FD2B2" w14:textId="7B4C12AD" w:rsidR="00FF7741" w:rsidRPr="00F51266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Утвержденная квота на 2019 года с учетом корректир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овок составляет </w:t>
      </w:r>
      <w:r w:rsid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1153 разрешения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работу, в счет установленной квоты с начала года оформлено 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728 разрешений на работу, расход составляет – 63,1%. </w:t>
      </w:r>
    </w:p>
    <w:p w14:paraId="4392EA94" w14:textId="30755EED" w:rsidR="00FF7741" w:rsidRPr="00F51266" w:rsidRDefault="00F51266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комитетом рассмотрено 125 запросов Управления по вопросам миграции 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ГУ МВД России по Санкт-Петербургу и Ленинградской области о выдаче заключений 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FF7741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привлечении и об использовании 1059 иностранных специалистов.</w:t>
      </w:r>
    </w:p>
    <w:p w14:paraId="763E0987" w14:textId="21C7691D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результатам рассмотрения комитетом выдано 120 заключений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целесообразности привлечения и использования 1048 иностранных работников,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том числе – 902 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квотируемым специальностям. </w:t>
      </w:r>
    </w:p>
    <w:p w14:paraId="505399D5" w14:textId="52701579" w:rsidR="00FF7741" w:rsidRPr="00D218A4" w:rsidRDefault="00877CC6" w:rsidP="00877CC6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визовые иностранные работники востребованы в следующих районах: </w:t>
      </w:r>
      <w:proofErr w:type="gramStart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Всеволожский – 259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(24,5%);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Кировский – 181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(17%);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Гатчинский – 175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(16,5%);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118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(11,1%);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103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(9,7%);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</w:t>
      </w:r>
      <w:proofErr w:type="spellEnd"/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91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(8,6%)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17BADD87" w14:textId="39135744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32 стран. Наибольшее количество иностранных работников работодатели планируют привлечь </w:t>
      </w:r>
      <w:proofErr w:type="gramStart"/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Китая 282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(26,6%)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Индии – 245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(23,1%); Вьетнам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194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(18,3%)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Филиппи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105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(9,9%)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ерби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86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(8,1%)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6D130EC" w14:textId="3F6F2E19" w:rsidR="00FF7741" w:rsidRPr="00D218A4" w:rsidRDefault="00D218A4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F7741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комитетом согласовано привлечение иностранных работников из стран с визовым порядком въезда в РФ по следующим видам экономической деятельности:</w:t>
      </w:r>
    </w:p>
    <w:p w14:paraId="524EC65E" w14:textId="0BCDA1E6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427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(40,7%);</w:t>
      </w:r>
    </w:p>
    <w:p w14:paraId="331CEF12" w14:textId="7B36E6C4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216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(20,6%);</w:t>
      </w:r>
    </w:p>
    <w:p w14:paraId="780C6718" w14:textId="1E90380C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транспортировка и хранение – 205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(19,6%);</w:t>
      </w:r>
    </w:p>
    <w:p w14:paraId="0EDBF098" w14:textId="02631B71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хозяйство, охота и лесное хозяйство – 105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(10%);</w:t>
      </w:r>
    </w:p>
    <w:p w14:paraId="26A9A7D9" w14:textId="7B5E447B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гостиниц и предприятий общественного питания – 46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(4,4%)</w:t>
      </w:r>
    </w:p>
    <w:p w14:paraId="55990540" w14:textId="0BC45981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(2,9%);</w:t>
      </w:r>
    </w:p>
    <w:p w14:paraId="6A6B44C9" w14:textId="531B779D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по операциям с недвижимым имуществом – 7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(0,7%);</w:t>
      </w:r>
    </w:p>
    <w:p w14:paraId="303AB95F" w14:textId="5907C2E5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прочих видов услуг – 6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(0,6%);</w:t>
      </w:r>
    </w:p>
    <w:p w14:paraId="57E64FFF" w14:textId="7C612166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административная и сопутствующие дополнительные услуги – 3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(0,3%);</w:t>
      </w:r>
    </w:p>
    <w:p w14:paraId="3997C55A" w14:textId="2E12EDE3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(0,1%);</w:t>
      </w:r>
    </w:p>
    <w:p w14:paraId="0E7ACDC3" w14:textId="11314259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в области здравоохранения и социальных услуг – 1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(0,1%)</w:t>
      </w:r>
    </w:p>
    <w:p w14:paraId="183470EF" w14:textId="2318908A" w:rsidR="00FF7741" w:rsidRPr="00D218A4" w:rsidRDefault="00FF7741" w:rsidP="00FF7741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востребованных специалистов 157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(14,8%) привлекаются</w:t>
      </w:r>
      <w:r w:rsidR="00285C80"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неквотируемым</w:t>
      </w:r>
      <w:proofErr w:type="spellEnd"/>
      <w:r w:rsidRP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специальностям (должностям).</w:t>
      </w:r>
    </w:p>
    <w:bookmarkEnd w:id="4"/>
    <w:bookmarkEnd w:id="5"/>
    <w:bookmarkEnd w:id="6"/>
    <w:bookmarkEnd w:id="7"/>
    <w:p w14:paraId="2EDD320E" w14:textId="77777777" w:rsidR="00994B41" w:rsidRPr="00D23EE2" w:rsidRDefault="005C6C54" w:rsidP="001F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6D60385" w14:textId="77777777"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0B520D9D" w14:textId="77777777"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65E10318" w14:textId="77777777"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711671D9" w14:textId="4B0AB636" w:rsidR="00675B04" w:rsidRPr="0010347F" w:rsidRDefault="00675B04" w:rsidP="0087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97CCD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7FB5CA24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- создание благоприятных условий для переселения на территорию Ленинградской области соотечественников, проживающих за рубежом. </w:t>
      </w:r>
    </w:p>
    <w:p w14:paraId="011E7FCF" w14:textId="23CC027C" w:rsidR="00877CC6" w:rsidRPr="00D218A4" w:rsidRDefault="00D218A4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от Управления по вопросам миграции ГУ МВД России по Санкт-Петербургу и Ленинградской обла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поступили на рассмотрение 1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336 копий заявлений соотечественников.</w:t>
      </w:r>
    </w:p>
    <w:p w14:paraId="0A19CFEA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заявлений комитет по труду и занятости населения Ленинградской области принял следующие решения:</w:t>
      </w:r>
    </w:p>
    <w:p w14:paraId="1B4A01D4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1006 заявлений </w:t>
      </w:r>
      <w:proofErr w:type="gramStart"/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  <w:proofErr w:type="gramEnd"/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(75,3%);</w:t>
      </w:r>
    </w:p>
    <w:p w14:paraId="0134DB61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330 заявлений </w:t>
      </w:r>
      <w:proofErr w:type="gramStart"/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proofErr w:type="gramEnd"/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(24,7%), в том числе:</w:t>
      </w:r>
    </w:p>
    <w:p w14:paraId="63D0BA4B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несоответствия заявителя критериям участия в подпрограмме – 268 заявлений; </w:t>
      </w:r>
    </w:p>
    <w:p w14:paraId="44C07A7B" w14:textId="64881999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отсутствия вакансий для соотечественника в базе данных вакансий муниципального образования Ленинградской области - территории вселения, соответствующих 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профессии (специальности), профессиональной квалификации, стажу и опыту работы – </w:t>
      </w:r>
      <w:r w:rsid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62 заявления.</w:t>
      </w:r>
    </w:p>
    <w:p w14:paraId="2727932E" w14:textId="47412A9D" w:rsidR="00877CC6" w:rsidRPr="00D218A4" w:rsidRDefault="00D218A4" w:rsidP="00D2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по вопросам миграции ГУ МВД России по Санкт-Петербургу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поставлены на учет в качестве прибывших на территорию вселения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923 участника подпрограммы (115,4% от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показателя на 2019 год) и 1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332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их семей. Количество прибывших в Ленинградскую область соотечественников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9,2% меньше количества прибывших соотечественников за аналогичный период прошлого года.</w:t>
      </w:r>
    </w:p>
    <w:p w14:paraId="34462507" w14:textId="106D9012" w:rsidR="00877CC6" w:rsidRPr="00D218A4" w:rsidRDefault="00D218A4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Ленинградскую область переселились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 соотечественников из 17 стран. Наибольшее количество соотечественников переселилось из Казахстана – 786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(34,9%), Украины – 635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(28,2%), Таджикистана – 243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(10,8%), Узбекистана – 170 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(7,5 %), Молдавии – 163 </w:t>
      </w:r>
      <w:r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CC6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(7,2%).</w:t>
      </w:r>
    </w:p>
    <w:p w14:paraId="020744CE" w14:textId="71D43846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числа прибывших в 2019 год</w:t>
      </w:r>
      <w:r w:rsid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соотечественников 1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580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(70%) трудоспособного возраста; 557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(24,7%) в возрасте, не достигшем утвержденного трудоспособного возраста, дети и 1188 </w:t>
      </w:r>
      <w:r w:rsidR="00D218A4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D2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D218A4"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(5,3%) в возрасте старше утвержденного трудоспособного возраста.</w:t>
      </w:r>
    </w:p>
    <w:p w14:paraId="6BE73C58" w14:textId="74104D08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образования из числа переселившихся в 2019 год</w:t>
      </w:r>
      <w:r w:rsid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трудоспособных соотечественников 52,4% имеют высшее профессиональное образование, 31,9% имеют среднее профессиональное образование и 15,7% имеют среднее общее образование.</w:t>
      </w:r>
    </w:p>
    <w:p w14:paraId="2102EDF0" w14:textId="77777777" w:rsidR="00877CC6" w:rsidRPr="00D218A4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экономики, наибольшую потребность в квалифицированных кадрах из числа соотечественников испытывают здравоохранение и образование.</w:t>
      </w:r>
    </w:p>
    <w:p w14:paraId="086EE53C" w14:textId="2C8693EC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соотечественников решают вопросы трудоустройства до момента вселения на территорию</w:t>
      </w:r>
      <w:r w:rsidRPr="00877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или работают в регионе на момент подачи заявления об участии в подпрограмме. </w:t>
      </w:r>
      <w:proofErr w:type="gramStart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населения Ленинградской области в 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              за 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содействием в трудоустройстве обратились 44 с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оотечественника, переселившихся 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Ленинградскую область в рамках реализации подпрограммы.</w:t>
      </w:r>
      <w:proofErr w:type="gramEnd"/>
    </w:p>
    <w:p w14:paraId="215CE87E" w14:textId="1ACAD89C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прибывших в 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востребованных специалистов: инженер – 165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экономист – 117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– 100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 – 62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программист – 38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медсестра – 43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электрик –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34 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 – 37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сварщик – 26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– 12 </w:t>
      </w:r>
      <w:r w:rsidR="00E2767C" w:rsidRPr="00F5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27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44FFE5F" w14:textId="454B751F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медицинские организации государственной системы здравоохранения Ленинградской области 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гарантированного медицинского обслуживания обратились 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315 соотечественников.</w:t>
      </w:r>
    </w:p>
    <w:p w14:paraId="0BDE38C3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прибывших соотечественников в 2019 году в Единой региональной автоматизированной информационной системе АИС «Социальная защита Ленинградской области» зарегистрированы 9 семей.</w:t>
      </w:r>
    </w:p>
    <w:p w14:paraId="673457CB" w14:textId="77985EE5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539 соотечественников прошли </w:t>
      </w:r>
      <w:proofErr w:type="gramStart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 программе</w:t>
      </w:r>
      <w:proofErr w:type="gramEnd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правовых, организационных, социально-экономических знаний, способствующих быстрому включению соотечественников в трудовые и социальные отношения Ленинградской области».</w:t>
      </w:r>
    </w:p>
    <w:p w14:paraId="5E190779" w14:textId="102294DF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и прибывших участников подпрограммы и членов их семей: </w:t>
      </w:r>
      <w:hyperlink r:id="rId16" w:history="1">
        <w:r w:rsidRPr="00E2767C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hyperlink r:id="rId17" w:history="1">
        <w:r w:rsidRPr="00E2767C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разработан в рамках средств, выделенных на реализацию подпрограммы в 2017 году. 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30 703 посещения портала 22 257 пользователями.</w:t>
      </w:r>
    </w:p>
    <w:p w14:paraId="0140890C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потенциальных участников подпрограммы за рубежом проведены видеоконференции с участием представителей Управления по вопросам миграции ГУ МВД России по Санкт-Петербургу и Ленинградской области и службы занятости населения Ленинградской области:</w:t>
      </w:r>
    </w:p>
    <w:p w14:paraId="23D64DE7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2019 года – с представительством МВД России в Латвии,</w:t>
      </w:r>
    </w:p>
    <w:p w14:paraId="6F7767C4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2019 года – с представительством МВД России в Молдавии,</w:t>
      </w:r>
    </w:p>
    <w:p w14:paraId="52D4AF2B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июля 2019 года – с представительством МВД России в Казахстане,</w:t>
      </w:r>
    </w:p>
    <w:p w14:paraId="4450E880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2019 года – с представительством МВД России в Таджикистане,</w:t>
      </w:r>
    </w:p>
    <w:p w14:paraId="6EF45535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2019 года – с представительством МВД России в Армении.</w:t>
      </w:r>
    </w:p>
    <w:p w14:paraId="2E75C2DF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проводятся консультации с потенциальными заявителями, проживающими за рубежом, в режиме видеоконференции.</w:t>
      </w:r>
    </w:p>
    <w:p w14:paraId="76C1BF26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 согласованию с ГУ МВД России по Санкт-Петербургу и Ленинградской области для предоставления консультаций прибывшим соотечественникам по вопросам трудоустройства в Ленинградской области и другим мероприятиям подпрограммы.</w:t>
      </w:r>
      <w:proofErr w:type="gramEnd"/>
    </w:p>
    <w:p w14:paraId="01CF025B" w14:textId="45E359B9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</w:t>
      </w:r>
      <w:r w:rsid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учреждениями комитета по труду и занятости населения Ленинградской области проведены 1 648 консультаций по вопросам участия в региональной программе переселения, в том числе 562 консультации - совместно с Управлением по вопросам миграции ГУ МВД России по Санкт-Петербургу и Ленинградской области.</w:t>
      </w:r>
    </w:p>
    <w:p w14:paraId="7D99FFBF" w14:textId="77777777" w:rsidR="00877CC6" w:rsidRPr="00E2767C" w:rsidRDefault="00877CC6" w:rsidP="0087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</w:t>
      </w:r>
      <w:bookmarkEnd w:id="2"/>
      <w:r w:rsidRPr="00E2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bookmarkEnd w:id="3"/>
    <w:p w14:paraId="051A77F7" w14:textId="77777777" w:rsidR="00435ECB" w:rsidRPr="00877CC6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35ECB" w:rsidRPr="00877CC6" w:rsidSect="004A51EC">
          <w:headerReference w:type="even" r:id="rId18"/>
          <w:headerReference w:type="default" r:id="rId19"/>
          <w:headerReference w:type="first" r:id="rId20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14:paraId="6378E205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CAB9B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80" w:type="dxa"/>
        <w:tblInd w:w="93" w:type="dxa"/>
        <w:tblLook w:val="04A0" w:firstRow="1" w:lastRow="0" w:firstColumn="1" w:lastColumn="0" w:noHBand="0" w:noVBand="1"/>
      </w:tblPr>
      <w:tblGrid>
        <w:gridCol w:w="700"/>
        <w:gridCol w:w="2062"/>
        <w:gridCol w:w="1364"/>
        <w:gridCol w:w="1416"/>
        <w:gridCol w:w="427"/>
        <w:gridCol w:w="850"/>
        <w:gridCol w:w="1276"/>
        <w:gridCol w:w="458"/>
        <w:gridCol w:w="960"/>
        <w:gridCol w:w="141"/>
        <w:gridCol w:w="1218"/>
        <w:gridCol w:w="625"/>
        <w:gridCol w:w="1262"/>
        <w:gridCol w:w="723"/>
        <w:gridCol w:w="1559"/>
        <w:gridCol w:w="347"/>
        <w:gridCol w:w="992"/>
      </w:tblGrid>
      <w:tr w:rsidR="00487D38" w:rsidRPr="00487D38" w14:paraId="7936513D" w14:textId="77777777" w:rsidTr="00487D38">
        <w:trPr>
          <w:gridAfter w:val="1"/>
          <w:wAfter w:w="992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F3D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4FA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F0B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12C4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4C4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BB2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2FE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77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487D38" w:rsidRPr="00487D38" w14:paraId="3C87991B" w14:textId="77777777" w:rsidTr="00487D38">
        <w:trPr>
          <w:gridAfter w:val="1"/>
          <w:wAfter w:w="992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CE8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1C3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BBE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30F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AE4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AA4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029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508" w14:textId="77777777" w:rsidR="00487D38" w:rsidRPr="00487D38" w:rsidRDefault="00487D38" w:rsidP="00487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D38" w:rsidRPr="00487D38" w14:paraId="1CB8F52E" w14:textId="77777777" w:rsidTr="00487D3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794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64E" w14:textId="3B3B661A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изменение ситуации на рынке труда Ленинградской области,</w:t>
            </w:r>
          </w:p>
        </w:tc>
      </w:tr>
      <w:tr w:rsidR="00487D38" w:rsidRPr="00487D38" w14:paraId="0CD7B472" w14:textId="77777777" w:rsidTr="00487D3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D3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59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2018-2019 гг.</w:t>
            </w:r>
          </w:p>
        </w:tc>
      </w:tr>
      <w:tr w:rsidR="00487D38" w:rsidRPr="00487D38" w14:paraId="70DB8261" w14:textId="77777777" w:rsidTr="00487D3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F8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B84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1EA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E8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BB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7C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0F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9F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Align w:val="center"/>
            <w:hideMark/>
          </w:tcPr>
          <w:p w14:paraId="5718E37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B7555C9" w14:textId="77777777" w:rsidTr="00487D3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B2E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544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03C2" w14:textId="2BE18758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0C25" w14:textId="43C8E4BA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50CCA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  к 01.01.19,               %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2BC8A52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1532EC7C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8E0D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F29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B56D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14:paraId="007D5FA1" w14:textId="454DBB7F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5683" w14:textId="2A2A7E48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65D42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9BFE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Align w:val="center"/>
            <w:hideMark/>
          </w:tcPr>
          <w:p w14:paraId="1194D16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3846871A" w14:textId="77777777" w:rsidTr="00487D38">
        <w:trPr>
          <w:trHeight w:val="1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71920" w14:textId="521ECA62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6C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80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9F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8449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B6C5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7C3C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Align w:val="center"/>
            <w:hideMark/>
          </w:tcPr>
          <w:p w14:paraId="6DDFA84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FA5CE7E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C0D9" w14:textId="0246E3E0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47C" w14:textId="74A0CCC8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26F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BD7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2C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E86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5E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3301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Align w:val="center"/>
            <w:hideMark/>
          </w:tcPr>
          <w:p w14:paraId="563879C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2707E65B" w14:textId="77777777" w:rsidTr="00487D3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9EE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ECED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00C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2F8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5433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51C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ABE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D21A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0861B27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174B5CF9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F3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7F6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628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28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60C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86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0D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3A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2A40E98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579CEEEA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52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70E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19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CA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0EF3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FC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92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463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0C05DA8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75269630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59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72A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FF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00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B81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EF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83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31E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6D3A6AF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2C5D7A76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76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EAE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D2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8C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7E2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57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23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20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5D58A27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3CAFCD06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C26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CD5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16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77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1BE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CE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1E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E2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440631C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276A0AD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81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A3B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78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2E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BD6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9C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06D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BD3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78FDFA4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57474ED5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97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D65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04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95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B637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66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44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77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1F533C9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285C1A92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82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2A5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E5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B6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914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C3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67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0D6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0E71371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0B2BC2AC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E0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3AB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B9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D07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DD5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FD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A9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E8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50B0013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324D7811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79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8142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66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48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F63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B8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F9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9D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6725DAF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103C1748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23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A9E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1BE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D1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488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B5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F7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AC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37FD6C9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CC758C3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5A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95B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27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EA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B23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6B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9E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BC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1E9ECA6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27726339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30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2541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4A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C5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391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7A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37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98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0053BC7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ADEFAF0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F7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FA6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3F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44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0B8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A8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D0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36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36508A8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17060E7E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53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95C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BC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40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A71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8C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97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A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0E0954C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EFE4A07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B41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B8A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13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BC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237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563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3B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E9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712C63D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62B097FB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73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2B5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D9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25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BEB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AF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17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44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2790379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3BF4477F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E0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D2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01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62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562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9C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1B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1A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7453551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7C0DBD63" w14:textId="77777777" w:rsidTr="00487D3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79B7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22C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4B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26590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D0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407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85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88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E73F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339" w:type="dxa"/>
            <w:gridSpan w:val="2"/>
            <w:vAlign w:val="center"/>
            <w:hideMark/>
          </w:tcPr>
          <w:p w14:paraId="123450D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A020DD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AA09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CD664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979DE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514B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77204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DC146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54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726"/>
        <w:gridCol w:w="833"/>
        <w:gridCol w:w="1559"/>
        <w:gridCol w:w="1985"/>
        <w:gridCol w:w="1056"/>
        <w:gridCol w:w="503"/>
        <w:gridCol w:w="1573"/>
        <w:gridCol w:w="1843"/>
      </w:tblGrid>
      <w:tr w:rsidR="00487D38" w:rsidRPr="00487D38" w14:paraId="1838B0FC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0F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FC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C2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0A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E5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21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B7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A0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487D38" w:rsidRPr="00487D38" w14:paraId="43552C76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BB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AB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DB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B7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4D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4A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19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090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578126A9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848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5B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C3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AB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AB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6C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D9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16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6F49BE17" w14:textId="77777777" w:rsidTr="00487D3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5001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1D61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FDE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0F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3DA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987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1B2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355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  к</w:t>
            </w:r>
          </w:p>
        </w:tc>
      </w:tr>
      <w:tr w:rsidR="00487D38" w:rsidRPr="00487D38" w14:paraId="5B8CCB5E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6BB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84DB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B0CE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9BA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к 2018, %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FB21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9E7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01.01.19,</w:t>
            </w:r>
          </w:p>
        </w:tc>
      </w:tr>
      <w:tr w:rsidR="00487D38" w:rsidRPr="00487D38" w14:paraId="3F112EF0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2CA9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C1F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F24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992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8E0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FEEC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E7C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87D38" w:rsidRPr="00487D38" w14:paraId="066A8B76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7F0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F570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B7A1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6D10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E57E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237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E976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233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87D38" w:rsidRPr="00487D38" w14:paraId="4F29EE41" w14:textId="77777777" w:rsidTr="00487D3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F43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A1E0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AF6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556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B08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0FE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C7C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1828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87D38" w:rsidRPr="00487D38" w14:paraId="72F43321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2B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23C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54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D2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A1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EB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39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3E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487D38" w:rsidRPr="00487D38" w14:paraId="1891E6A4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FC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EED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A2F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1E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66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0C8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D7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14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487D38" w:rsidRPr="00487D38" w14:paraId="0B53A4B7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B8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80A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D7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65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AD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4E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3E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10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487D38" w:rsidRPr="00487D38" w14:paraId="25EDEE25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74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2E4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10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BC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9C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29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A34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8E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</w:tr>
      <w:tr w:rsidR="00487D38" w:rsidRPr="00487D38" w14:paraId="75CF21AE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E5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E13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15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0E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1A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FD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78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69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87D38" w:rsidRPr="00487D38" w14:paraId="32852A32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89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6D6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8B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71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41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A4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47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E9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487D38" w:rsidRPr="00487D38" w14:paraId="67D9014D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F4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EB83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9B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D3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9C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F65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3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8F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487D38" w:rsidRPr="00487D38" w14:paraId="67200F33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95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B2F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26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1F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22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BF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F1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05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487D38" w:rsidRPr="00487D38" w14:paraId="2F5DB70A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9A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CAE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A4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42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C1F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EB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C7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73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</w:tr>
      <w:tr w:rsidR="00487D38" w:rsidRPr="00487D38" w14:paraId="656C53E9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99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2A6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AB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C9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7F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9F9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41A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07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487D38" w:rsidRPr="00487D38" w14:paraId="28718DBD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AB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D4B7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50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E2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AE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4A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09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22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487D38" w:rsidRPr="00487D38" w14:paraId="30634EFF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7B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CC8F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27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1C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04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D5B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55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72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487D38" w:rsidRPr="00487D38" w14:paraId="6357DA02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69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C36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3D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10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41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3C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96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7B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487D38" w:rsidRPr="00487D38" w14:paraId="51E6E0DD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97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6B9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9B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C77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71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B2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23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98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487D38" w:rsidRPr="00487D38" w14:paraId="0EB309FC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02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E30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59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EB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3B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68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130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E2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487D38" w:rsidRPr="00487D38" w14:paraId="7D10E590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1E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FF54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45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C5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6C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63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FF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34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487D38" w:rsidRPr="00487D38" w14:paraId="77836DF0" w14:textId="77777777" w:rsidTr="00487D3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F6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754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A5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07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F6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94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86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9B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487D38" w:rsidRPr="00487D38" w14:paraId="3399558A" w14:textId="77777777" w:rsidTr="00487D3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CF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40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84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E1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99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34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DD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8F4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487D38" w:rsidRPr="00487D38" w14:paraId="30E38407" w14:textId="77777777" w:rsidTr="00487D3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35D6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3E0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A3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13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22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FE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0C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9AC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</w:tbl>
    <w:p w14:paraId="3C717AF8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75D93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DB64E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A96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995F3" w14:textId="77777777" w:rsidR="006B35AF" w:rsidRDefault="006B35AF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6F75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AFCC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1747A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534"/>
        <w:gridCol w:w="1646"/>
        <w:gridCol w:w="622"/>
        <w:gridCol w:w="2268"/>
        <w:gridCol w:w="2126"/>
        <w:gridCol w:w="1504"/>
        <w:gridCol w:w="764"/>
        <w:gridCol w:w="2126"/>
      </w:tblGrid>
      <w:tr w:rsidR="00487D38" w:rsidRPr="00487D38" w14:paraId="1B917764" w14:textId="77777777" w:rsidTr="00487D3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DB3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91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41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A7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3C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B3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49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487D38" w:rsidRPr="00487D38" w14:paraId="3D3AC1B1" w14:textId="77777777" w:rsidTr="00487D3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E5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C6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6F7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B2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D3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65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DA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3148655B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07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59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A9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DB0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7B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142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A6A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6680C831" w14:textId="77777777" w:rsidTr="00487D38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243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D2E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7089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66F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CAD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40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8FC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87D38" w:rsidRPr="00487D38" w14:paraId="700FD769" w14:textId="77777777" w:rsidTr="00487D3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E62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44A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4967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CD8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к </w:t>
            </w: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2018 года, %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5E21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487D38" w:rsidRPr="00487D38" w14:paraId="38A8E739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BA6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7B50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F78CD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273F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7812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1A3E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7D38" w:rsidRPr="00487D38" w14:paraId="7FB99318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528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7A5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E96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17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33AC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1DDE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7D38" w:rsidRPr="00487D38" w14:paraId="31A0A052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ECD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D36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3F0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B78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AB4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8D5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5EF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487D38" w:rsidRPr="00487D38" w14:paraId="74A7C139" w14:textId="77777777" w:rsidTr="00487D38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3B3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457A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2F8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3F0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12C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878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861A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87D38" w:rsidRPr="00487D38" w14:paraId="38361F98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B5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7D1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A0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2F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D2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72C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E6F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487D38" w:rsidRPr="00487D38" w14:paraId="6756AB08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D4D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766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02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B3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E2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BD0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AAD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487D38" w:rsidRPr="00487D38" w14:paraId="736EF514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34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A77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A8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50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0C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C5E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5CB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487D38" w:rsidRPr="00487D38" w14:paraId="12EAEE4D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23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A5E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BB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85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90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AFA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67C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487D38" w:rsidRPr="00487D38" w14:paraId="38E6C56D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B8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622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0C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F5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77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ED6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E66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87D38" w:rsidRPr="00487D38" w14:paraId="2A6C310D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F6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D7B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FA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FC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15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08E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701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487D38" w:rsidRPr="00487D38" w14:paraId="634BAA84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86C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87B7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C6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88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3A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45C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A08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487D38" w:rsidRPr="00487D38" w14:paraId="028D555B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8B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54A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25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A8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56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24A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2D1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87D38" w:rsidRPr="00487D38" w14:paraId="5A42E747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0C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A01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94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15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192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AAA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3208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487D38" w:rsidRPr="00487D38" w14:paraId="3B20BE3D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6B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483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18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CE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25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ED6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FD1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487D38" w:rsidRPr="00487D38" w14:paraId="6646352C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4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C52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86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06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02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B4A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6CD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487D38" w:rsidRPr="00487D38" w14:paraId="44E54BF8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F7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E47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A31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3F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65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19D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C56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487D38" w:rsidRPr="00487D38" w14:paraId="589615DB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D3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265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DD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2D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CC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936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DB5D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487D38" w:rsidRPr="00487D38" w14:paraId="2E703815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C1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373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F6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8C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A7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8BC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5D9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487D38" w:rsidRPr="00487D38" w14:paraId="326664B5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96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009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EA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AD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6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ECA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F5E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487D38" w:rsidRPr="00487D38" w14:paraId="65E817CB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44E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20E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5E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80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8F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199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0A2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487D38" w:rsidRPr="00487D38" w14:paraId="58F0AEC7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07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D0B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17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99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FD4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99E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07D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87D38" w:rsidRPr="00487D38" w14:paraId="66494C80" w14:textId="77777777" w:rsidTr="00487D3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2C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2D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9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81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CC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A0A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7EF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487D38" w:rsidRPr="00487D38" w14:paraId="5A74C22B" w14:textId="77777777" w:rsidTr="00487D38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BFF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1F8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1D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41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9E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6E0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BDB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</w:tbl>
    <w:p w14:paraId="3E0E0D1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636A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1" w:type="dxa"/>
        <w:tblInd w:w="93" w:type="dxa"/>
        <w:tblLook w:val="04A0" w:firstRow="1" w:lastRow="0" w:firstColumn="1" w:lastColumn="0" w:noHBand="0" w:noVBand="1"/>
      </w:tblPr>
      <w:tblGrid>
        <w:gridCol w:w="699"/>
        <w:gridCol w:w="2566"/>
        <w:gridCol w:w="541"/>
        <w:gridCol w:w="1052"/>
        <w:gridCol w:w="260"/>
        <w:gridCol w:w="1843"/>
        <w:gridCol w:w="1985"/>
        <w:gridCol w:w="236"/>
        <w:gridCol w:w="1071"/>
        <w:gridCol w:w="394"/>
        <w:gridCol w:w="1417"/>
        <w:gridCol w:w="2693"/>
        <w:gridCol w:w="994"/>
      </w:tblGrid>
      <w:tr w:rsidR="00487D38" w:rsidRPr="00487D38" w14:paraId="4107F367" w14:textId="77777777" w:rsidTr="00487D38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64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5AA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64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C6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51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FA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33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218" w14:textId="77777777" w:rsidR="00C85019" w:rsidRDefault="00C85019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E258F" w14:textId="77777777" w:rsidR="00C85019" w:rsidRDefault="00C85019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39353" w14:textId="77777777" w:rsidR="00C85019" w:rsidRDefault="00C85019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94C1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4</w:t>
            </w:r>
          </w:p>
        </w:tc>
      </w:tr>
      <w:tr w:rsidR="00487D38" w:rsidRPr="00487D38" w14:paraId="5CF906ED" w14:textId="77777777" w:rsidTr="00487D38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E57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D5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E2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30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BF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C85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DBB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E5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7D77EEC9" w14:textId="77777777" w:rsidTr="00487D38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69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757E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8C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42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3E8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48C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45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B6B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38" w:rsidRPr="00487D38" w14:paraId="44C851C8" w14:textId="77777777" w:rsidTr="00487D38">
        <w:trPr>
          <w:gridAfter w:val="1"/>
          <w:wAfter w:w="994" w:type="dxa"/>
          <w:trHeight w:val="27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0807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413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6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B37F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свободных рабочих мест, ед.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FC57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487D38" w:rsidRPr="00487D38" w14:paraId="11261224" w14:textId="77777777" w:rsidTr="00487D38">
        <w:trPr>
          <w:gridAfter w:val="1"/>
          <w:wAfter w:w="994" w:type="dxa"/>
          <w:trHeight w:val="48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4BC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6279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00A9" w14:textId="0670105A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1256" w14:textId="143002F2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6E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 к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DE3C" w14:textId="10EDC4E0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4FA" w14:textId="0CA67961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65B3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487D38" w:rsidRPr="00487D38" w14:paraId="116E4629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BBA7" w14:textId="698B33F6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E7F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95D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2C2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521" w14:textId="1C554746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01.01.19,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985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6933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0AE13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7D38" w:rsidRPr="00487D38" w14:paraId="5801DD46" w14:textId="77777777" w:rsidTr="00487D38">
        <w:trPr>
          <w:gridAfter w:val="1"/>
          <w:wAfter w:w="994" w:type="dxa"/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4432" w14:textId="0E9C1948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31FF0" w14:textId="15829243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F1A2" w14:textId="4D31C32B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BD93" w14:textId="0919369F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95A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82A89" w14:textId="275117C1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BCF0" w14:textId="6D08FE1C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FDB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01.01.20-01.01.19</w:t>
            </w:r>
          </w:p>
        </w:tc>
      </w:tr>
      <w:tr w:rsidR="00487D38" w:rsidRPr="00487D38" w14:paraId="5362C100" w14:textId="77777777" w:rsidTr="00487D38">
        <w:trPr>
          <w:gridAfter w:val="1"/>
          <w:wAfter w:w="994" w:type="dxa"/>
          <w:trHeight w:val="27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9C1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4FF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2A2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B99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CD5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6C8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39D8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356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87D38" w:rsidRPr="00487D38" w14:paraId="63BC532F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F30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DCC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56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67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945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0A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96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09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87D38" w:rsidRPr="00487D38" w14:paraId="437452A9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09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3DF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36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F2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609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6D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CB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C7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487D38" w:rsidRPr="00487D38" w14:paraId="673D9C7A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30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91B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D1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46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E0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4C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47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5A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487D38" w:rsidRPr="00487D38" w14:paraId="41AD9490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25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2E1B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94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C5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46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8C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4D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FA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87D38" w:rsidRPr="00487D38" w14:paraId="67759311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05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9B29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68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E1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7B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6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9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FE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87D38" w:rsidRPr="00487D38" w14:paraId="005B85E2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E0A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023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85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1E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58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51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64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BF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87D38" w:rsidRPr="00487D38" w14:paraId="5748F67A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45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F202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E3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93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8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09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26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D9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87D38" w:rsidRPr="00487D38" w14:paraId="07B0FA72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60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5AC7C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58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43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DF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9A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84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7C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</w:tr>
      <w:tr w:rsidR="00487D38" w:rsidRPr="00487D38" w14:paraId="7CE37731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DC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E523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B0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E9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54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D7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D7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89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87D38" w:rsidRPr="00487D38" w14:paraId="34E6784D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EC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665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BA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12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D0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D8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D9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7F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87D38" w:rsidRPr="00487D38" w14:paraId="1D18D745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F5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DD6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A4B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99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34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43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4B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09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87D38" w:rsidRPr="00487D38" w14:paraId="3A9C19CA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76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F3EF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D4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46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A6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35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6A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09E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87D38" w:rsidRPr="00487D38" w14:paraId="14217163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96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5300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26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B8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B1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73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B9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82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87D38" w:rsidRPr="00487D38" w14:paraId="3B5EF415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80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C054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CE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37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BA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2A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B3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910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87D38" w:rsidRPr="00487D38" w14:paraId="3D83377A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A7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13C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B3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49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76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E5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C6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67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-0,21</w:t>
            </w:r>
          </w:p>
        </w:tc>
      </w:tr>
      <w:tr w:rsidR="00487D38" w:rsidRPr="00487D38" w14:paraId="7CFE49A9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86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F7D1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30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55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23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34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04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72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87D38" w:rsidRPr="00487D38" w14:paraId="419C087E" w14:textId="77777777" w:rsidTr="00487D38">
        <w:trPr>
          <w:gridAfter w:val="1"/>
          <w:wAfter w:w="994" w:type="dxa"/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155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6F56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EB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E14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70A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8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FCB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3B3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87D38" w:rsidRPr="00487D38" w14:paraId="288A2FAD" w14:textId="77777777" w:rsidTr="00487D38">
        <w:trPr>
          <w:gridAfter w:val="1"/>
          <w:wAfter w:w="994" w:type="dxa"/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202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E19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7D7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603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929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E5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E48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F5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87D38" w:rsidRPr="00487D38" w14:paraId="4BD6E28E" w14:textId="77777777" w:rsidTr="00487D38">
        <w:trPr>
          <w:gridAfter w:val="1"/>
          <w:wAfter w:w="994" w:type="dxa"/>
          <w:trHeight w:val="27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BC9D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B8CA" w14:textId="77777777" w:rsidR="00487D38" w:rsidRPr="00487D38" w:rsidRDefault="00487D38" w:rsidP="004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EA7C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D5D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C36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53F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E81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C42AE" w14:textId="77777777" w:rsidR="00487D38" w:rsidRPr="00487D38" w:rsidRDefault="00487D38" w:rsidP="004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</w:tr>
    </w:tbl>
    <w:p w14:paraId="4C6A8A64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F83E" w14:textId="14C22A55" w:rsidR="00214CA5" w:rsidRDefault="00487D38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676F9A" wp14:editId="743E4AA2">
            <wp:extent cx="9247505" cy="6400800"/>
            <wp:effectExtent l="0" t="0" r="0" b="0"/>
            <wp:docPr id="1" name="Рисунок 1" descr="C:\Users\e.korobkova\Desktop\Documents\Екатерина\АНАЛИЗ\2019\Анализ 2019\шай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АНАЛИЗ\2019\Анализ 2019\шайба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3B2A" w14:textId="77777777"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30D8F87" w14:textId="77777777"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A47FCA5" w14:textId="69F6DA5F" w:rsidR="00084096" w:rsidRPr="00F35072" w:rsidRDefault="00C85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FDA969" wp14:editId="6C17D943">
            <wp:extent cx="9238615" cy="6184900"/>
            <wp:effectExtent l="0" t="0" r="635" b="6350"/>
            <wp:docPr id="14" name="Рисунок 14" descr="C:\Users\e.korobkova\Desktop\Documents\Екатерина\ЭКСПРЕСС_о развитии рынка труда\2019\Экспресска 12_2019\Таблицы к экспресс 12_19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orobkova\Desktop\Documents\Екатерина\ЭКСПРЕСС_о развитии рынка труда\2019\Экспресска 12_2019\Таблицы к экспресс 12_19\Screenshot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949A" w14:textId="77777777" w:rsidR="00D1091C" w:rsidRDefault="00D1091C">
      <w:pPr>
        <w:spacing w:after="0" w:line="240" w:lineRule="auto"/>
      </w:pPr>
      <w:r>
        <w:separator/>
      </w:r>
    </w:p>
  </w:endnote>
  <w:endnote w:type="continuationSeparator" w:id="0">
    <w:p w14:paraId="42415AD5" w14:textId="77777777" w:rsidR="00D1091C" w:rsidRDefault="00D1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E3A7" w14:textId="77777777" w:rsidR="00D1091C" w:rsidRDefault="00D1091C">
      <w:pPr>
        <w:spacing w:after="0" w:line="240" w:lineRule="auto"/>
      </w:pPr>
      <w:r>
        <w:separator/>
      </w:r>
    </w:p>
  </w:footnote>
  <w:footnote w:type="continuationSeparator" w:id="0">
    <w:p w14:paraId="72418459" w14:textId="77777777" w:rsidR="00D1091C" w:rsidRDefault="00D1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E67F" w14:textId="77777777" w:rsidR="00294B40" w:rsidRDefault="00294B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6E4D35" w14:textId="77777777" w:rsidR="00294B40" w:rsidRDefault="00294B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1CE6" w14:textId="77777777" w:rsidR="00294B40" w:rsidRDefault="00294B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13E9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D475" w14:textId="77777777" w:rsidR="00294B40" w:rsidRDefault="00294B40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1FBE"/>
    <w:rsid w:val="00003670"/>
    <w:rsid w:val="00003D4A"/>
    <w:rsid w:val="0000453E"/>
    <w:rsid w:val="00004AA4"/>
    <w:rsid w:val="00007088"/>
    <w:rsid w:val="0001053C"/>
    <w:rsid w:val="00011017"/>
    <w:rsid w:val="000121B2"/>
    <w:rsid w:val="00012231"/>
    <w:rsid w:val="0001666A"/>
    <w:rsid w:val="0002033F"/>
    <w:rsid w:val="0002213A"/>
    <w:rsid w:val="0002272C"/>
    <w:rsid w:val="00022C84"/>
    <w:rsid w:val="00024F53"/>
    <w:rsid w:val="00025178"/>
    <w:rsid w:val="0002573C"/>
    <w:rsid w:val="00025B9A"/>
    <w:rsid w:val="00026C14"/>
    <w:rsid w:val="00027041"/>
    <w:rsid w:val="00030CB9"/>
    <w:rsid w:val="00031B68"/>
    <w:rsid w:val="00032153"/>
    <w:rsid w:val="00032FDE"/>
    <w:rsid w:val="000342D5"/>
    <w:rsid w:val="000343BC"/>
    <w:rsid w:val="00035AFA"/>
    <w:rsid w:val="00036C27"/>
    <w:rsid w:val="00037342"/>
    <w:rsid w:val="00037A73"/>
    <w:rsid w:val="00037C03"/>
    <w:rsid w:val="00037ECD"/>
    <w:rsid w:val="000403E8"/>
    <w:rsid w:val="0004047C"/>
    <w:rsid w:val="00040A9F"/>
    <w:rsid w:val="00040B9E"/>
    <w:rsid w:val="000430E8"/>
    <w:rsid w:val="00043F26"/>
    <w:rsid w:val="0004430A"/>
    <w:rsid w:val="00045C75"/>
    <w:rsid w:val="00051C36"/>
    <w:rsid w:val="00051E8C"/>
    <w:rsid w:val="00052134"/>
    <w:rsid w:val="00052555"/>
    <w:rsid w:val="00053641"/>
    <w:rsid w:val="00054795"/>
    <w:rsid w:val="00055600"/>
    <w:rsid w:val="000561BA"/>
    <w:rsid w:val="00056347"/>
    <w:rsid w:val="00057D58"/>
    <w:rsid w:val="00062F2C"/>
    <w:rsid w:val="00063496"/>
    <w:rsid w:val="00063A23"/>
    <w:rsid w:val="00064039"/>
    <w:rsid w:val="00065BB6"/>
    <w:rsid w:val="00065BFF"/>
    <w:rsid w:val="00066BFE"/>
    <w:rsid w:val="00071375"/>
    <w:rsid w:val="00072829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65BE"/>
    <w:rsid w:val="00090955"/>
    <w:rsid w:val="00090B48"/>
    <w:rsid w:val="00090DA2"/>
    <w:rsid w:val="00091678"/>
    <w:rsid w:val="00093455"/>
    <w:rsid w:val="00094222"/>
    <w:rsid w:val="00094635"/>
    <w:rsid w:val="00095648"/>
    <w:rsid w:val="000A0534"/>
    <w:rsid w:val="000A283D"/>
    <w:rsid w:val="000A4DB7"/>
    <w:rsid w:val="000A6A58"/>
    <w:rsid w:val="000B5BA2"/>
    <w:rsid w:val="000C1DA5"/>
    <w:rsid w:val="000C2F23"/>
    <w:rsid w:val="000C4B0E"/>
    <w:rsid w:val="000C6C70"/>
    <w:rsid w:val="000D121C"/>
    <w:rsid w:val="000D2F0E"/>
    <w:rsid w:val="000D3F2A"/>
    <w:rsid w:val="000D44A2"/>
    <w:rsid w:val="000D7C9B"/>
    <w:rsid w:val="000E00F7"/>
    <w:rsid w:val="000E0438"/>
    <w:rsid w:val="000E1C8E"/>
    <w:rsid w:val="000E2660"/>
    <w:rsid w:val="000E30D7"/>
    <w:rsid w:val="000E526B"/>
    <w:rsid w:val="000E5E5F"/>
    <w:rsid w:val="000E6F2D"/>
    <w:rsid w:val="000F0129"/>
    <w:rsid w:val="000F1F15"/>
    <w:rsid w:val="000F331B"/>
    <w:rsid w:val="000F3584"/>
    <w:rsid w:val="000F4525"/>
    <w:rsid w:val="000F7464"/>
    <w:rsid w:val="001000FA"/>
    <w:rsid w:val="0010241C"/>
    <w:rsid w:val="00102A5E"/>
    <w:rsid w:val="00102C03"/>
    <w:rsid w:val="0010347F"/>
    <w:rsid w:val="001035B4"/>
    <w:rsid w:val="00105A69"/>
    <w:rsid w:val="00113612"/>
    <w:rsid w:val="00113BD2"/>
    <w:rsid w:val="00113C79"/>
    <w:rsid w:val="001146CD"/>
    <w:rsid w:val="00114942"/>
    <w:rsid w:val="00115516"/>
    <w:rsid w:val="001159AC"/>
    <w:rsid w:val="00115DBE"/>
    <w:rsid w:val="00115F46"/>
    <w:rsid w:val="00117D55"/>
    <w:rsid w:val="00120727"/>
    <w:rsid w:val="00120B6A"/>
    <w:rsid w:val="0012152A"/>
    <w:rsid w:val="00121E13"/>
    <w:rsid w:val="00122715"/>
    <w:rsid w:val="00124E73"/>
    <w:rsid w:val="001255CB"/>
    <w:rsid w:val="001270C8"/>
    <w:rsid w:val="00127391"/>
    <w:rsid w:val="00132255"/>
    <w:rsid w:val="00133BE1"/>
    <w:rsid w:val="0013495B"/>
    <w:rsid w:val="00137FCA"/>
    <w:rsid w:val="001403C1"/>
    <w:rsid w:val="00141B07"/>
    <w:rsid w:val="00143B20"/>
    <w:rsid w:val="001472D4"/>
    <w:rsid w:val="00150399"/>
    <w:rsid w:val="001511F6"/>
    <w:rsid w:val="001524DA"/>
    <w:rsid w:val="00152B4B"/>
    <w:rsid w:val="00153F5A"/>
    <w:rsid w:val="0016011F"/>
    <w:rsid w:val="0016034F"/>
    <w:rsid w:val="001613B3"/>
    <w:rsid w:val="00161EAB"/>
    <w:rsid w:val="00165401"/>
    <w:rsid w:val="001667D4"/>
    <w:rsid w:val="00171376"/>
    <w:rsid w:val="00171AEB"/>
    <w:rsid w:val="00173667"/>
    <w:rsid w:val="00173B37"/>
    <w:rsid w:val="001753AF"/>
    <w:rsid w:val="0017560F"/>
    <w:rsid w:val="00176F17"/>
    <w:rsid w:val="00177E80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271"/>
    <w:rsid w:val="001B1B55"/>
    <w:rsid w:val="001B1D88"/>
    <w:rsid w:val="001B4482"/>
    <w:rsid w:val="001B4AEE"/>
    <w:rsid w:val="001B4F2A"/>
    <w:rsid w:val="001C0CA9"/>
    <w:rsid w:val="001C145D"/>
    <w:rsid w:val="001C2908"/>
    <w:rsid w:val="001C2D3A"/>
    <w:rsid w:val="001C2DEC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0E89"/>
    <w:rsid w:val="001E4025"/>
    <w:rsid w:val="001E4C72"/>
    <w:rsid w:val="001E4FBA"/>
    <w:rsid w:val="001E5294"/>
    <w:rsid w:val="001E73C1"/>
    <w:rsid w:val="001F02F7"/>
    <w:rsid w:val="001F0F3B"/>
    <w:rsid w:val="001F1D47"/>
    <w:rsid w:val="001F333A"/>
    <w:rsid w:val="001F3833"/>
    <w:rsid w:val="001F48F6"/>
    <w:rsid w:val="001F50EE"/>
    <w:rsid w:val="001F5D4E"/>
    <w:rsid w:val="001F6C76"/>
    <w:rsid w:val="001F7095"/>
    <w:rsid w:val="001F7C18"/>
    <w:rsid w:val="002038F3"/>
    <w:rsid w:val="002059C6"/>
    <w:rsid w:val="00207503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170C1"/>
    <w:rsid w:val="00221AB6"/>
    <w:rsid w:val="00223B6F"/>
    <w:rsid w:val="00224FCD"/>
    <w:rsid w:val="00225A12"/>
    <w:rsid w:val="00227FAD"/>
    <w:rsid w:val="002317EF"/>
    <w:rsid w:val="002319D2"/>
    <w:rsid w:val="00232215"/>
    <w:rsid w:val="0023303D"/>
    <w:rsid w:val="00233348"/>
    <w:rsid w:val="00235633"/>
    <w:rsid w:val="002375A2"/>
    <w:rsid w:val="00237C41"/>
    <w:rsid w:val="002413E9"/>
    <w:rsid w:val="00243AC7"/>
    <w:rsid w:val="002441CA"/>
    <w:rsid w:val="00245867"/>
    <w:rsid w:val="00245DE5"/>
    <w:rsid w:val="00246673"/>
    <w:rsid w:val="0024686B"/>
    <w:rsid w:val="00251246"/>
    <w:rsid w:val="002518EF"/>
    <w:rsid w:val="00253742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46FA"/>
    <w:rsid w:val="002662A6"/>
    <w:rsid w:val="002668DC"/>
    <w:rsid w:val="002705FC"/>
    <w:rsid w:val="00272DD6"/>
    <w:rsid w:val="002742A4"/>
    <w:rsid w:val="00274854"/>
    <w:rsid w:val="00280102"/>
    <w:rsid w:val="0028014F"/>
    <w:rsid w:val="00282B7D"/>
    <w:rsid w:val="0028415F"/>
    <w:rsid w:val="00285C80"/>
    <w:rsid w:val="0028663E"/>
    <w:rsid w:val="00291FC0"/>
    <w:rsid w:val="00294B40"/>
    <w:rsid w:val="002976AA"/>
    <w:rsid w:val="00297A97"/>
    <w:rsid w:val="002A1CC6"/>
    <w:rsid w:val="002A2D69"/>
    <w:rsid w:val="002A31C3"/>
    <w:rsid w:val="002A3D30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3E0A"/>
    <w:rsid w:val="002C4D87"/>
    <w:rsid w:val="002C605E"/>
    <w:rsid w:val="002C6A43"/>
    <w:rsid w:val="002C716B"/>
    <w:rsid w:val="002D0B88"/>
    <w:rsid w:val="002D2086"/>
    <w:rsid w:val="002D3A37"/>
    <w:rsid w:val="002D3E85"/>
    <w:rsid w:val="002D4466"/>
    <w:rsid w:val="002D4F06"/>
    <w:rsid w:val="002D684D"/>
    <w:rsid w:val="002D7514"/>
    <w:rsid w:val="002D7A0D"/>
    <w:rsid w:val="002E2231"/>
    <w:rsid w:val="002E5A08"/>
    <w:rsid w:val="002E5C94"/>
    <w:rsid w:val="002F01B7"/>
    <w:rsid w:val="002F3C1E"/>
    <w:rsid w:val="002F74CC"/>
    <w:rsid w:val="003016B0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4910"/>
    <w:rsid w:val="00314D58"/>
    <w:rsid w:val="00315C3D"/>
    <w:rsid w:val="00317912"/>
    <w:rsid w:val="0032082B"/>
    <w:rsid w:val="00321627"/>
    <w:rsid w:val="00324E1F"/>
    <w:rsid w:val="00326655"/>
    <w:rsid w:val="00326FA0"/>
    <w:rsid w:val="00331E39"/>
    <w:rsid w:val="00331FED"/>
    <w:rsid w:val="00332E1B"/>
    <w:rsid w:val="00334441"/>
    <w:rsid w:val="003345A9"/>
    <w:rsid w:val="003353F6"/>
    <w:rsid w:val="00336299"/>
    <w:rsid w:val="003369E1"/>
    <w:rsid w:val="00336BEC"/>
    <w:rsid w:val="00340B7E"/>
    <w:rsid w:val="003459C1"/>
    <w:rsid w:val="003467E1"/>
    <w:rsid w:val="0034772D"/>
    <w:rsid w:val="0035238B"/>
    <w:rsid w:val="003544A8"/>
    <w:rsid w:val="00355C2F"/>
    <w:rsid w:val="00357016"/>
    <w:rsid w:val="003575EB"/>
    <w:rsid w:val="003651EB"/>
    <w:rsid w:val="00365E65"/>
    <w:rsid w:val="003672CF"/>
    <w:rsid w:val="003677D3"/>
    <w:rsid w:val="0036784D"/>
    <w:rsid w:val="00367C4D"/>
    <w:rsid w:val="00371636"/>
    <w:rsid w:val="00371AC0"/>
    <w:rsid w:val="003722AF"/>
    <w:rsid w:val="003723A4"/>
    <w:rsid w:val="00372520"/>
    <w:rsid w:val="0037296A"/>
    <w:rsid w:val="00375B3B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9732B"/>
    <w:rsid w:val="003975C4"/>
    <w:rsid w:val="003A0DA8"/>
    <w:rsid w:val="003A1FE1"/>
    <w:rsid w:val="003A36D1"/>
    <w:rsid w:val="003A4FF9"/>
    <w:rsid w:val="003A6B80"/>
    <w:rsid w:val="003A6C32"/>
    <w:rsid w:val="003A73B9"/>
    <w:rsid w:val="003B18C8"/>
    <w:rsid w:val="003B47C5"/>
    <w:rsid w:val="003B534C"/>
    <w:rsid w:val="003B605D"/>
    <w:rsid w:val="003B7E68"/>
    <w:rsid w:val="003C17A5"/>
    <w:rsid w:val="003C248D"/>
    <w:rsid w:val="003C4B40"/>
    <w:rsid w:val="003C4B52"/>
    <w:rsid w:val="003C4C8A"/>
    <w:rsid w:val="003C66AA"/>
    <w:rsid w:val="003C792C"/>
    <w:rsid w:val="003D3522"/>
    <w:rsid w:val="003D49E1"/>
    <w:rsid w:val="003D70EF"/>
    <w:rsid w:val="003E52CB"/>
    <w:rsid w:val="003E644E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06C98"/>
    <w:rsid w:val="00410492"/>
    <w:rsid w:val="00411096"/>
    <w:rsid w:val="004135D0"/>
    <w:rsid w:val="0041373B"/>
    <w:rsid w:val="0041637B"/>
    <w:rsid w:val="00417625"/>
    <w:rsid w:val="00423310"/>
    <w:rsid w:val="00423DBF"/>
    <w:rsid w:val="00424CF5"/>
    <w:rsid w:val="0042544E"/>
    <w:rsid w:val="004261F7"/>
    <w:rsid w:val="0042704E"/>
    <w:rsid w:val="0042789C"/>
    <w:rsid w:val="00431DAE"/>
    <w:rsid w:val="004335D0"/>
    <w:rsid w:val="0043413F"/>
    <w:rsid w:val="00435ECB"/>
    <w:rsid w:val="0044037B"/>
    <w:rsid w:val="004414D0"/>
    <w:rsid w:val="00442667"/>
    <w:rsid w:val="004428F4"/>
    <w:rsid w:val="004435E8"/>
    <w:rsid w:val="004436F8"/>
    <w:rsid w:val="004443C4"/>
    <w:rsid w:val="00444ABE"/>
    <w:rsid w:val="00445A32"/>
    <w:rsid w:val="004479DF"/>
    <w:rsid w:val="0045089C"/>
    <w:rsid w:val="004513E7"/>
    <w:rsid w:val="0045142E"/>
    <w:rsid w:val="004515F4"/>
    <w:rsid w:val="00452CAB"/>
    <w:rsid w:val="00456A18"/>
    <w:rsid w:val="004607D3"/>
    <w:rsid w:val="00461CDC"/>
    <w:rsid w:val="0046236E"/>
    <w:rsid w:val="00462892"/>
    <w:rsid w:val="00464958"/>
    <w:rsid w:val="0046572A"/>
    <w:rsid w:val="00465962"/>
    <w:rsid w:val="00470418"/>
    <w:rsid w:val="0047115E"/>
    <w:rsid w:val="00471572"/>
    <w:rsid w:val="00472FBC"/>
    <w:rsid w:val="004736E8"/>
    <w:rsid w:val="00474C10"/>
    <w:rsid w:val="00476174"/>
    <w:rsid w:val="00477BE5"/>
    <w:rsid w:val="00480411"/>
    <w:rsid w:val="0048099E"/>
    <w:rsid w:val="00481926"/>
    <w:rsid w:val="00484B1C"/>
    <w:rsid w:val="00485E02"/>
    <w:rsid w:val="0048665F"/>
    <w:rsid w:val="00487366"/>
    <w:rsid w:val="004878A0"/>
    <w:rsid w:val="00487D38"/>
    <w:rsid w:val="00490113"/>
    <w:rsid w:val="0049044E"/>
    <w:rsid w:val="004913B2"/>
    <w:rsid w:val="00491793"/>
    <w:rsid w:val="004929A3"/>
    <w:rsid w:val="00492B2E"/>
    <w:rsid w:val="004936E3"/>
    <w:rsid w:val="00493F92"/>
    <w:rsid w:val="00494B0F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5D5E"/>
    <w:rsid w:val="004B6A52"/>
    <w:rsid w:val="004B7C35"/>
    <w:rsid w:val="004C20FB"/>
    <w:rsid w:val="004C2CBE"/>
    <w:rsid w:val="004C42DF"/>
    <w:rsid w:val="004C51A2"/>
    <w:rsid w:val="004C55E9"/>
    <w:rsid w:val="004C6053"/>
    <w:rsid w:val="004C67AC"/>
    <w:rsid w:val="004D0233"/>
    <w:rsid w:val="004D5660"/>
    <w:rsid w:val="004D5907"/>
    <w:rsid w:val="004D5B82"/>
    <w:rsid w:val="004D65D0"/>
    <w:rsid w:val="004D6D06"/>
    <w:rsid w:val="004D725F"/>
    <w:rsid w:val="004D7B92"/>
    <w:rsid w:val="004E0E4D"/>
    <w:rsid w:val="004E45A3"/>
    <w:rsid w:val="004E4CB8"/>
    <w:rsid w:val="004F1298"/>
    <w:rsid w:val="004F1C72"/>
    <w:rsid w:val="004F35DE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11CC"/>
    <w:rsid w:val="00512056"/>
    <w:rsid w:val="0051450F"/>
    <w:rsid w:val="00514C2F"/>
    <w:rsid w:val="00517B25"/>
    <w:rsid w:val="00520F2F"/>
    <w:rsid w:val="00521F21"/>
    <w:rsid w:val="00523263"/>
    <w:rsid w:val="005236B6"/>
    <w:rsid w:val="0052772E"/>
    <w:rsid w:val="005308A1"/>
    <w:rsid w:val="00531177"/>
    <w:rsid w:val="005318E4"/>
    <w:rsid w:val="00532A6D"/>
    <w:rsid w:val="0053461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4135"/>
    <w:rsid w:val="0055454E"/>
    <w:rsid w:val="005561CF"/>
    <w:rsid w:val="00556920"/>
    <w:rsid w:val="00556EB4"/>
    <w:rsid w:val="00561B99"/>
    <w:rsid w:val="0056272E"/>
    <w:rsid w:val="00562D4D"/>
    <w:rsid w:val="00564D1E"/>
    <w:rsid w:val="005654B7"/>
    <w:rsid w:val="005656F7"/>
    <w:rsid w:val="00570D92"/>
    <w:rsid w:val="00572223"/>
    <w:rsid w:val="00572EB4"/>
    <w:rsid w:val="005738A3"/>
    <w:rsid w:val="005744FE"/>
    <w:rsid w:val="005745E9"/>
    <w:rsid w:val="00575E0E"/>
    <w:rsid w:val="005764BC"/>
    <w:rsid w:val="005771CD"/>
    <w:rsid w:val="00577502"/>
    <w:rsid w:val="0057787C"/>
    <w:rsid w:val="005802DE"/>
    <w:rsid w:val="00581BBC"/>
    <w:rsid w:val="00582E0C"/>
    <w:rsid w:val="00583394"/>
    <w:rsid w:val="005841EC"/>
    <w:rsid w:val="00584202"/>
    <w:rsid w:val="005849FC"/>
    <w:rsid w:val="00585257"/>
    <w:rsid w:val="00586A30"/>
    <w:rsid w:val="005872DE"/>
    <w:rsid w:val="0058736C"/>
    <w:rsid w:val="00590356"/>
    <w:rsid w:val="005903F3"/>
    <w:rsid w:val="005937DD"/>
    <w:rsid w:val="005961CD"/>
    <w:rsid w:val="00597E26"/>
    <w:rsid w:val="005A11C0"/>
    <w:rsid w:val="005A17B2"/>
    <w:rsid w:val="005A5E3F"/>
    <w:rsid w:val="005A6220"/>
    <w:rsid w:val="005B062F"/>
    <w:rsid w:val="005B390E"/>
    <w:rsid w:val="005B404A"/>
    <w:rsid w:val="005B4C0B"/>
    <w:rsid w:val="005B4D21"/>
    <w:rsid w:val="005B5FA3"/>
    <w:rsid w:val="005B7069"/>
    <w:rsid w:val="005C06B9"/>
    <w:rsid w:val="005C352F"/>
    <w:rsid w:val="005C454B"/>
    <w:rsid w:val="005C6972"/>
    <w:rsid w:val="005C6C54"/>
    <w:rsid w:val="005D11F1"/>
    <w:rsid w:val="005D1A58"/>
    <w:rsid w:val="005D2463"/>
    <w:rsid w:val="005D5DCA"/>
    <w:rsid w:val="005D5E4C"/>
    <w:rsid w:val="005D602A"/>
    <w:rsid w:val="005D6B35"/>
    <w:rsid w:val="005D6BBB"/>
    <w:rsid w:val="005E1C36"/>
    <w:rsid w:val="005E2BBC"/>
    <w:rsid w:val="005E3016"/>
    <w:rsid w:val="005E57C5"/>
    <w:rsid w:val="005E624E"/>
    <w:rsid w:val="005E6531"/>
    <w:rsid w:val="005F023C"/>
    <w:rsid w:val="005F113A"/>
    <w:rsid w:val="005F27C7"/>
    <w:rsid w:val="005F482E"/>
    <w:rsid w:val="005F56CF"/>
    <w:rsid w:val="005F6811"/>
    <w:rsid w:val="0060091F"/>
    <w:rsid w:val="00600BFE"/>
    <w:rsid w:val="00602779"/>
    <w:rsid w:val="00604C58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30B9"/>
    <w:rsid w:val="00623369"/>
    <w:rsid w:val="00626DF3"/>
    <w:rsid w:val="00627A28"/>
    <w:rsid w:val="00630DC6"/>
    <w:rsid w:val="0063157A"/>
    <w:rsid w:val="006327BC"/>
    <w:rsid w:val="006347AD"/>
    <w:rsid w:val="00640653"/>
    <w:rsid w:val="00640A43"/>
    <w:rsid w:val="00641FEE"/>
    <w:rsid w:val="00642BE1"/>
    <w:rsid w:val="006434E0"/>
    <w:rsid w:val="006442B8"/>
    <w:rsid w:val="00644E02"/>
    <w:rsid w:val="00645E49"/>
    <w:rsid w:val="00651029"/>
    <w:rsid w:val="00651938"/>
    <w:rsid w:val="00653B91"/>
    <w:rsid w:val="00656B30"/>
    <w:rsid w:val="00657320"/>
    <w:rsid w:val="00657846"/>
    <w:rsid w:val="00660560"/>
    <w:rsid w:val="00660D32"/>
    <w:rsid w:val="0066151F"/>
    <w:rsid w:val="006642C0"/>
    <w:rsid w:val="00664449"/>
    <w:rsid w:val="00665568"/>
    <w:rsid w:val="0066644A"/>
    <w:rsid w:val="006668D9"/>
    <w:rsid w:val="0067143B"/>
    <w:rsid w:val="00675B04"/>
    <w:rsid w:val="006818A5"/>
    <w:rsid w:val="00681C23"/>
    <w:rsid w:val="00682EF5"/>
    <w:rsid w:val="006837AD"/>
    <w:rsid w:val="006862B6"/>
    <w:rsid w:val="00686FF3"/>
    <w:rsid w:val="00687AF0"/>
    <w:rsid w:val="006905E4"/>
    <w:rsid w:val="00694123"/>
    <w:rsid w:val="00695E6B"/>
    <w:rsid w:val="006977D7"/>
    <w:rsid w:val="006A0D4B"/>
    <w:rsid w:val="006A2202"/>
    <w:rsid w:val="006A2761"/>
    <w:rsid w:val="006A598B"/>
    <w:rsid w:val="006A5D82"/>
    <w:rsid w:val="006A738B"/>
    <w:rsid w:val="006A795A"/>
    <w:rsid w:val="006B042D"/>
    <w:rsid w:val="006B0CCE"/>
    <w:rsid w:val="006B0F5A"/>
    <w:rsid w:val="006B13F9"/>
    <w:rsid w:val="006B2F25"/>
    <w:rsid w:val="006B35AF"/>
    <w:rsid w:val="006B3809"/>
    <w:rsid w:val="006B3FF8"/>
    <w:rsid w:val="006B4EB5"/>
    <w:rsid w:val="006C0875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54E3"/>
    <w:rsid w:val="006D661D"/>
    <w:rsid w:val="006D7066"/>
    <w:rsid w:val="006E1008"/>
    <w:rsid w:val="006E1332"/>
    <w:rsid w:val="006E3551"/>
    <w:rsid w:val="006E63AC"/>
    <w:rsid w:val="006E68D4"/>
    <w:rsid w:val="006E75D2"/>
    <w:rsid w:val="006F005A"/>
    <w:rsid w:val="006F0A40"/>
    <w:rsid w:val="006F125B"/>
    <w:rsid w:val="006F5DF9"/>
    <w:rsid w:val="00701F95"/>
    <w:rsid w:val="00702048"/>
    <w:rsid w:val="00703FC5"/>
    <w:rsid w:val="0070474E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1689D"/>
    <w:rsid w:val="00720756"/>
    <w:rsid w:val="00720FBD"/>
    <w:rsid w:val="00722A49"/>
    <w:rsid w:val="00722F0A"/>
    <w:rsid w:val="00723194"/>
    <w:rsid w:val="00723F84"/>
    <w:rsid w:val="00724BB0"/>
    <w:rsid w:val="00725612"/>
    <w:rsid w:val="00725D2C"/>
    <w:rsid w:val="00725FC6"/>
    <w:rsid w:val="007260B6"/>
    <w:rsid w:val="00727122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2A40"/>
    <w:rsid w:val="00743433"/>
    <w:rsid w:val="0075091F"/>
    <w:rsid w:val="007536C3"/>
    <w:rsid w:val="00755342"/>
    <w:rsid w:val="00756E81"/>
    <w:rsid w:val="00760D49"/>
    <w:rsid w:val="007628B0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26A9"/>
    <w:rsid w:val="0079347A"/>
    <w:rsid w:val="00796B89"/>
    <w:rsid w:val="007972E1"/>
    <w:rsid w:val="007A660E"/>
    <w:rsid w:val="007A6AB8"/>
    <w:rsid w:val="007A769C"/>
    <w:rsid w:val="007A77F8"/>
    <w:rsid w:val="007A7CB8"/>
    <w:rsid w:val="007B0195"/>
    <w:rsid w:val="007B1845"/>
    <w:rsid w:val="007B21C4"/>
    <w:rsid w:val="007B3A71"/>
    <w:rsid w:val="007B3BBF"/>
    <w:rsid w:val="007B535F"/>
    <w:rsid w:val="007B5625"/>
    <w:rsid w:val="007B5C41"/>
    <w:rsid w:val="007C062A"/>
    <w:rsid w:val="007C2530"/>
    <w:rsid w:val="007C477D"/>
    <w:rsid w:val="007C5643"/>
    <w:rsid w:val="007C60F8"/>
    <w:rsid w:val="007C76B3"/>
    <w:rsid w:val="007C7B77"/>
    <w:rsid w:val="007D167E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540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67F9"/>
    <w:rsid w:val="008078E8"/>
    <w:rsid w:val="00811AE2"/>
    <w:rsid w:val="00811E3E"/>
    <w:rsid w:val="008177B5"/>
    <w:rsid w:val="00822EAC"/>
    <w:rsid w:val="008254FC"/>
    <w:rsid w:val="00825F32"/>
    <w:rsid w:val="008335E6"/>
    <w:rsid w:val="00835164"/>
    <w:rsid w:val="008400C3"/>
    <w:rsid w:val="008407AE"/>
    <w:rsid w:val="00840E8A"/>
    <w:rsid w:val="00842603"/>
    <w:rsid w:val="008435FD"/>
    <w:rsid w:val="00844224"/>
    <w:rsid w:val="00851227"/>
    <w:rsid w:val="00855CE1"/>
    <w:rsid w:val="008612DD"/>
    <w:rsid w:val="00861A9D"/>
    <w:rsid w:val="00862C93"/>
    <w:rsid w:val="00863351"/>
    <w:rsid w:val="00863D24"/>
    <w:rsid w:val="00864186"/>
    <w:rsid w:val="0086431D"/>
    <w:rsid w:val="008704A2"/>
    <w:rsid w:val="00870888"/>
    <w:rsid w:val="0087106E"/>
    <w:rsid w:val="00874A0E"/>
    <w:rsid w:val="00874A99"/>
    <w:rsid w:val="0087531A"/>
    <w:rsid w:val="008754DB"/>
    <w:rsid w:val="008756CC"/>
    <w:rsid w:val="00876163"/>
    <w:rsid w:val="00876E92"/>
    <w:rsid w:val="00877CC6"/>
    <w:rsid w:val="00877FCD"/>
    <w:rsid w:val="0088040B"/>
    <w:rsid w:val="00880490"/>
    <w:rsid w:val="008827EF"/>
    <w:rsid w:val="00883543"/>
    <w:rsid w:val="00883F1E"/>
    <w:rsid w:val="0088429A"/>
    <w:rsid w:val="00884DA7"/>
    <w:rsid w:val="008858A3"/>
    <w:rsid w:val="00885DC9"/>
    <w:rsid w:val="0089233B"/>
    <w:rsid w:val="00892B84"/>
    <w:rsid w:val="008933F2"/>
    <w:rsid w:val="00893D24"/>
    <w:rsid w:val="0089400E"/>
    <w:rsid w:val="00894FBD"/>
    <w:rsid w:val="00896E28"/>
    <w:rsid w:val="0089709A"/>
    <w:rsid w:val="008A10E2"/>
    <w:rsid w:val="008A14DE"/>
    <w:rsid w:val="008A1947"/>
    <w:rsid w:val="008A2786"/>
    <w:rsid w:val="008A3488"/>
    <w:rsid w:val="008A44FD"/>
    <w:rsid w:val="008A6366"/>
    <w:rsid w:val="008A7776"/>
    <w:rsid w:val="008A79D5"/>
    <w:rsid w:val="008B1C64"/>
    <w:rsid w:val="008B3711"/>
    <w:rsid w:val="008B51ED"/>
    <w:rsid w:val="008B5877"/>
    <w:rsid w:val="008B5CE3"/>
    <w:rsid w:val="008B72E4"/>
    <w:rsid w:val="008B7F4A"/>
    <w:rsid w:val="008C09A7"/>
    <w:rsid w:val="008C2EC4"/>
    <w:rsid w:val="008C5111"/>
    <w:rsid w:val="008C5372"/>
    <w:rsid w:val="008C5E8B"/>
    <w:rsid w:val="008C6C36"/>
    <w:rsid w:val="008C6F89"/>
    <w:rsid w:val="008D571B"/>
    <w:rsid w:val="008D660C"/>
    <w:rsid w:val="008D7621"/>
    <w:rsid w:val="008D7902"/>
    <w:rsid w:val="008E2FD8"/>
    <w:rsid w:val="008E4B7E"/>
    <w:rsid w:val="008E69C7"/>
    <w:rsid w:val="008E6EBD"/>
    <w:rsid w:val="008F1C3F"/>
    <w:rsid w:val="008F29A9"/>
    <w:rsid w:val="008F29B0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513"/>
    <w:rsid w:val="00910704"/>
    <w:rsid w:val="00910DF6"/>
    <w:rsid w:val="00911713"/>
    <w:rsid w:val="00911C54"/>
    <w:rsid w:val="009160A0"/>
    <w:rsid w:val="009161C0"/>
    <w:rsid w:val="00917BB6"/>
    <w:rsid w:val="009207AD"/>
    <w:rsid w:val="0092271E"/>
    <w:rsid w:val="00923476"/>
    <w:rsid w:val="00924931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60C5"/>
    <w:rsid w:val="00936F05"/>
    <w:rsid w:val="00936FF1"/>
    <w:rsid w:val="0094359B"/>
    <w:rsid w:val="00945249"/>
    <w:rsid w:val="00946F3D"/>
    <w:rsid w:val="00950C1A"/>
    <w:rsid w:val="0095148A"/>
    <w:rsid w:val="009519FF"/>
    <w:rsid w:val="0095275E"/>
    <w:rsid w:val="0095298E"/>
    <w:rsid w:val="00956D5B"/>
    <w:rsid w:val="009571DA"/>
    <w:rsid w:val="00957E56"/>
    <w:rsid w:val="00963C7E"/>
    <w:rsid w:val="00964177"/>
    <w:rsid w:val="00965D97"/>
    <w:rsid w:val="00966A93"/>
    <w:rsid w:val="00967106"/>
    <w:rsid w:val="009702BA"/>
    <w:rsid w:val="00970886"/>
    <w:rsid w:val="00971060"/>
    <w:rsid w:val="009711B2"/>
    <w:rsid w:val="00971E6D"/>
    <w:rsid w:val="00972835"/>
    <w:rsid w:val="00972F13"/>
    <w:rsid w:val="0097648B"/>
    <w:rsid w:val="00977B12"/>
    <w:rsid w:val="00981717"/>
    <w:rsid w:val="009823FB"/>
    <w:rsid w:val="00982453"/>
    <w:rsid w:val="00982B2D"/>
    <w:rsid w:val="00985E40"/>
    <w:rsid w:val="00985EA6"/>
    <w:rsid w:val="0098692E"/>
    <w:rsid w:val="0099040F"/>
    <w:rsid w:val="009920D6"/>
    <w:rsid w:val="0099356F"/>
    <w:rsid w:val="00993ADB"/>
    <w:rsid w:val="00994B41"/>
    <w:rsid w:val="00997246"/>
    <w:rsid w:val="009A0125"/>
    <w:rsid w:val="009A1791"/>
    <w:rsid w:val="009A1D46"/>
    <w:rsid w:val="009A32F4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5F25"/>
    <w:rsid w:val="009B686E"/>
    <w:rsid w:val="009B6D4C"/>
    <w:rsid w:val="009C25B0"/>
    <w:rsid w:val="009C30F8"/>
    <w:rsid w:val="009C3129"/>
    <w:rsid w:val="009C514F"/>
    <w:rsid w:val="009C537D"/>
    <w:rsid w:val="009C5E43"/>
    <w:rsid w:val="009C6A8C"/>
    <w:rsid w:val="009D0A8F"/>
    <w:rsid w:val="009D2C38"/>
    <w:rsid w:val="009D3699"/>
    <w:rsid w:val="009D4B68"/>
    <w:rsid w:val="009D5AC5"/>
    <w:rsid w:val="009E0644"/>
    <w:rsid w:val="009E27A8"/>
    <w:rsid w:val="009E2D35"/>
    <w:rsid w:val="009E2F90"/>
    <w:rsid w:val="009E3BAA"/>
    <w:rsid w:val="009E534A"/>
    <w:rsid w:val="009E5D22"/>
    <w:rsid w:val="009E5F88"/>
    <w:rsid w:val="009E725E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32D4"/>
    <w:rsid w:val="00A066E0"/>
    <w:rsid w:val="00A070DC"/>
    <w:rsid w:val="00A1047E"/>
    <w:rsid w:val="00A159B5"/>
    <w:rsid w:val="00A16A17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1BCE"/>
    <w:rsid w:val="00A32FAA"/>
    <w:rsid w:val="00A33A5A"/>
    <w:rsid w:val="00A33F44"/>
    <w:rsid w:val="00A41C31"/>
    <w:rsid w:val="00A42412"/>
    <w:rsid w:val="00A42975"/>
    <w:rsid w:val="00A43A5B"/>
    <w:rsid w:val="00A440F8"/>
    <w:rsid w:val="00A44B4F"/>
    <w:rsid w:val="00A44FCF"/>
    <w:rsid w:val="00A45413"/>
    <w:rsid w:val="00A45EC3"/>
    <w:rsid w:val="00A47BC4"/>
    <w:rsid w:val="00A47C76"/>
    <w:rsid w:val="00A47FE2"/>
    <w:rsid w:val="00A5202B"/>
    <w:rsid w:val="00A528DC"/>
    <w:rsid w:val="00A5623A"/>
    <w:rsid w:val="00A565FD"/>
    <w:rsid w:val="00A56BEC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A6C16"/>
    <w:rsid w:val="00AA7E94"/>
    <w:rsid w:val="00AB0808"/>
    <w:rsid w:val="00AB0AE2"/>
    <w:rsid w:val="00AB310B"/>
    <w:rsid w:val="00AB3787"/>
    <w:rsid w:val="00AB4A3D"/>
    <w:rsid w:val="00AC1FDF"/>
    <w:rsid w:val="00AC2BB0"/>
    <w:rsid w:val="00AC498F"/>
    <w:rsid w:val="00AC5464"/>
    <w:rsid w:val="00AC68AA"/>
    <w:rsid w:val="00AC7114"/>
    <w:rsid w:val="00AD1194"/>
    <w:rsid w:val="00AD4ADB"/>
    <w:rsid w:val="00AD56D5"/>
    <w:rsid w:val="00AD577A"/>
    <w:rsid w:val="00AD6BEF"/>
    <w:rsid w:val="00AD7FB3"/>
    <w:rsid w:val="00AE1C18"/>
    <w:rsid w:val="00AE1F97"/>
    <w:rsid w:val="00AE3D04"/>
    <w:rsid w:val="00AE3EE2"/>
    <w:rsid w:val="00AE7FEE"/>
    <w:rsid w:val="00AF028F"/>
    <w:rsid w:val="00AF3075"/>
    <w:rsid w:val="00AF44DC"/>
    <w:rsid w:val="00AF4B2C"/>
    <w:rsid w:val="00AF5C52"/>
    <w:rsid w:val="00AF6705"/>
    <w:rsid w:val="00AF6C16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4C13"/>
    <w:rsid w:val="00B16A8E"/>
    <w:rsid w:val="00B16BBD"/>
    <w:rsid w:val="00B172B2"/>
    <w:rsid w:val="00B2062F"/>
    <w:rsid w:val="00B2147D"/>
    <w:rsid w:val="00B21B03"/>
    <w:rsid w:val="00B3061A"/>
    <w:rsid w:val="00B307A1"/>
    <w:rsid w:val="00B309BE"/>
    <w:rsid w:val="00B333C3"/>
    <w:rsid w:val="00B3498C"/>
    <w:rsid w:val="00B34E42"/>
    <w:rsid w:val="00B35447"/>
    <w:rsid w:val="00B35452"/>
    <w:rsid w:val="00B35EF1"/>
    <w:rsid w:val="00B428C0"/>
    <w:rsid w:val="00B42F65"/>
    <w:rsid w:val="00B45231"/>
    <w:rsid w:val="00B46AD1"/>
    <w:rsid w:val="00B47947"/>
    <w:rsid w:val="00B50093"/>
    <w:rsid w:val="00B51ED8"/>
    <w:rsid w:val="00B528D0"/>
    <w:rsid w:val="00B52B8F"/>
    <w:rsid w:val="00B5306F"/>
    <w:rsid w:val="00B53498"/>
    <w:rsid w:val="00B5489F"/>
    <w:rsid w:val="00B56519"/>
    <w:rsid w:val="00B573B5"/>
    <w:rsid w:val="00B578F5"/>
    <w:rsid w:val="00B57B59"/>
    <w:rsid w:val="00B6050D"/>
    <w:rsid w:val="00B634B5"/>
    <w:rsid w:val="00B63B12"/>
    <w:rsid w:val="00B63C18"/>
    <w:rsid w:val="00B63F5A"/>
    <w:rsid w:val="00B642CA"/>
    <w:rsid w:val="00B6456F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3F5"/>
    <w:rsid w:val="00B91B40"/>
    <w:rsid w:val="00B9439D"/>
    <w:rsid w:val="00B94A78"/>
    <w:rsid w:val="00B95032"/>
    <w:rsid w:val="00B9555A"/>
    <w:rsid w:val="00B95914"/>
    <w:rsid w:val="00BA1DDD"/>
    <w:rsid w:val="00BA318C"/>
    <w:rsid w:val="00BA7724"/>
    <w:rsid w:val="00BA7815"/>
    <w:rsid w:val="00BB3391"/>
    <w:rsid w:val="00BB5B87"/>
    <w:rsid w:val="00BB7ED6"/>
    <w:rsid w:val="00BC0250"/>
    <w:rsid w:val="00BC15AC"/>
    <w:rsid w:val="00BC1E53"/>
    <w:rsid w:val="00BC2821"/>
    <w:rsid w:val="00BC4D33"/>
    <w:rsid w:val="00BC5C2F"/>
    <w:rsid w:val="00BC7D88"/>
    <w:rsid w:val="00BD186D"/>
    <w:rsid w:val="00BD3832"/>
    <w:rsid w:val="00BD3FC7"/>
    <w:rsid w:val="00BD4652"/>
    <w:rsid w:val="00BD51F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531"/>
    <w:rsid w:val="00C03D05"/>
    <w:rsid w:val="00C050B2"/>
    <w:rsid w:val="00C050D3"/>
    <w:rsid w:val="00C05A09"/>
    <w:rsid w:val="00C066BE"/>
    <w:rsid w:val="00C079C6"/>
    <w:rsid w:val="00C07E9A"/>
    <w:rsid w:val="00C104D0"/>
    <w:rsid w:val="00C1107E"/>
    <w:rsid w:val="00C118D2"/>
    <w:rsid w:val="00C13904"/>
    <w:rsid w:val="00C151CC"/>
    <w:rsid w:val="00C162F7"/>
    <w:rsid w:val="00C16620"/>
    <w:rsid w:val="00C17CFF"/>
    <w:rsid w:val="00C20AC8"/>
    <w:rsid w:val="00C20C04"/>
    <w:rsid w:val="00C268B8"/>
    <w:rsid w:val="00C278C6"/>
    <w:rsid w:val="00C279F5"/>
    <w:rsid w:val="00C30429"/>
    <w:rsid w:val="00C3151F"/>
    <w:rsid w:val="00C32C00"/>
    <w:rsid w:val="00C33B21"/>
    <w:rsid w:val="00C34B67"/>
    <w:rsid w:val="00C35ED6"/>
    <w:rsid w:val="00C40A20"/>
    <w:rsid w:val="00C41007"/>
    <w:rsid w:val="00C44DB2"/>
    <w:rsid w:val="00C45293"/>
    <w:rsid w:val="00C461B5"/>
    <w:rsid w:val="00C46C5E"/>
    <w:rsid w:val="00C50731"/>
    <w:rsid w:val="00C51107"/>
    <w:rsid w:val="00C51437"/>
    <w:rsid w:val="00C526CA"/>
    <w:rsid w:val="00C55599"/>
    <w:rsid w:val="00C56F1A"/>
    <w:rsid w:val="00C57161"/>
    <w:rsid w:val="00C57C2B"/>
    <w:rsid w:val="00C619D7"/>
    <w:rsid w:val="00C65E9F"/>
    <w:rsid w:val="00C672C0"/>
    <w:rsid w:val="00C705F1"/>
    <w:rsid w:val="00C70CE3"/>
    <w:rsid w:val="00C718C8"/>
    <w:rsid w:val="00C71F75"/>
    <w:rsid w:val="00C7615F"/>
    <w:rsid w:val="00C76BE1"/>
    <w:rsid w:val="00C77A53"/>
    <w:rsid w:val="00C8024E"/>
    <w:rsid w:val="00C80AC7"/>
    <w:rsid w:val="00C842BE"/>
    <w:rsid w:val="00C85019"/>
    <w:rsid w:val="00C86AF3"/>
    <w:rsid w:val="00C90F36"/>
    <w:rsid w:val="00C91E96"/>
    <w:rsid w:val="00C95E38"/>
    <w:rsid w:val="00C97637"/>
    <w:rsid w:val="00CA0B01"/>
    <w:rsid w:val="00CA2129"/>
    <w:rsid w:val="00CA26B5"/>
    <w:rsid w:val="00CA3069"/>
    <w:rsid w:val="00CA6C2B"/>
    <w:rsid w:val="00CA7DA0"/>
    <w:rsid w:val="00CB17C8"/>
    <w:rsid w:val="00CB311E"/>
    <w:rsid w:val="00CB3B04"/>
    <w:rsid w:val="00CB4E6C"/>
    <w:rsid w:val="00CB56A1"/>
    <w:rsid w:val="00CC00B4"/>
    <w:rsid w:val="00CC0503"/>
    <w:rsid w:val="00CC0A38"/>
    <w:rsid w:val="00CC759D"/>
    <w:rsid w:val="00CD04D2"/>
    <w:rsid w:val="00CD0839"/>
    <w:rsid w:val="00CD13FB"/>
    <w:rsid w:val="00CD15EC"/>
    <w:rsid w:val="00CD62E7"/>
    <w:rsid w:val="00CD658D"/>
    <w:rsid w:val="00CD7E8F"/>
    <w:rsid w:val="00CE27CA"/>
    <w:rsid w:val="00CE5401"/>
    <w:rsid w:val="00CF0EA3"/>
    <w:rsid w:val="00CF2959"/>
    <w:rsid w:val="00CF3BB4"/>
    <w:rsid w:val="00CF3C0E"/>
    <w:rsid w:val="00CF4276"/>
    <w:rsid w:val="00CF44E1"/>
    <w:rsid w:val="00CF4D64"/>
    <w:rsid w:val="00CF57FE"/>
    <w:rsid w:val="00CF64FA"/>
    <w:rsid w:val="00CF6728"/>
    <w:rsid w:val="00D06FA3"/>
    <w:rsid w:val="00D07400"/>
    <w:rsid w:val="00D1091C"/>
    <w:rsid w:val="00D113AE"/>
    <w:rsid w:val="00D11944"/>
    <w:rsid w:val="00D13A1B"/>
    <w:rsid w:val="00D17137"/>
    <w:rsid w:val="00D17785"/>
    <w:rsid w:val="00D205ED"/>
    <w:rsid w:val="00D218A4"/>
    <w:rsid w:val="00D2395E"/>
    <w:rsid w:val="00D23EE2"/>
    <w:rsid w:val="00D2596A"/>
    <w:rsid w:val="00D26C9A"/>
    <w:rsid w:val="00D30CF2"/>
    <w:rsid w:val="00D3494D"/>
    <w:rsid w:val="00D34DC9"/>
    <w:rsid w:val="00D35656"/>
    <w:rsid w:val="00D3595B"/>
    <w:rsid w:val="00D35B6D"/>
    <w:rsid w:val="00D362C1"/>
    <w:rsid w:val="00D379FF"/>
    <w:rsid w:val="00D37CC4"/>
    <w:rsid w:val="00D406E4"/>
    <w:rsid w:val="00D413A3"/>
    <w:rsid w:val="00D425C2"/>
    <w:rsid w:val="00D426C0"/>
    <w:rsid w:val="00D43019"/>
    <w:rsid w:val="00D47EA2"/>
    <w:rsid w:val="00D50F26"/>
    <w:rsid w:val="00D513DC"/>
    <w:rsid w:val="00D52DE1"/>
    <w:rsid w:val="00D531C7"/>
    <w:rsid w:val="00D61358"/>
    <w:rsid w:val="00D6201B"/>
    <w:rsid w:val="00D6422A"/>
    <w:rsid w:val="00D64D82"/>
    <w:rsid w:val="00D72E78"/>
    <w:rsid w:val="00D75E9C"/>
    <w:rsid w:val="00D763FD"/>
    <w:rsid w:val="00D76906"/>
    <w:rsid w:val="00D82561"/>
    <w:rsid w:val="00D82AE3"/>
    <w:rsid w:val="00D830A5"/>
    <w:rsid w:val="00D869B5"/>
    <w:rsid w:val="00D86CE0"/>
    <w:rsid w:val="00D903E9"/>
    <w:rsid w:val="00D93BA6"/>
    <w:rsid w:val="00D943EA"/>
    <w:rsid w:val="00D963D9"/>
    <w:rsid w:val="00D973FA"/>
    <w:rsid w:val="00DA0B48"/>
    <w:rsid w:val="00DA0C32"/>
    <w:rsid w:val="00DA2086"/>
    <w:rsid w:val="00DA2ED0"/>
    <w:rsid w:val="00DA2EEA"/>
    <w:rsid w:val="00DA44A3"/>
    <w:rsid w:val="00DA478A"/>
    <w:rsid w:val="00DA6458"/>
    <w:rsid w:val="00DA6AB7"/>
    <w:rsid w:val="00DB00FA"/>
    <w:rsid w:val="00DB277F"/>
    <w:rsid w:val="00DB4835"/>
    <w:rsid w:val="00DB526E"/>
    <w:rsid w:val="00DB52C5"/>
    <w:rsid w:val="00DB5693"/>
    <w:rsid w:val="00DB59BB"/>
    <w:rsid w:val="00DB729A"/>
    <w:rsid w:val="00DC11AD"/>
    <w:rsid w:val="00DC190C"/>
    <w:rsid w:val="00DC19D4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0E65"/>
    <w:rsid w:val="00DD27D4"/>
    <w:rsid w:val="00DD2A82"/>
    <w:rsid w:val="00DD45D1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E7721"/>
    <w:rsid w:val="00DF05BE"/>
    <w:rsid w:val="00DF0BA9"/>
    <w:rsid w:val="00DF167E"/>
    <w:rsid w:val="00DF6BF9"/>
    <w:rsid w:val="00DF72A8"/>
    <w:rsid w:val="00E01352"/>
    <w:rsid w:val="00E02A68"/>
    <w:rsid w:val="00E02A8B"/>
    <w:rsid w:val="00E02D99"/>
    <w:rsid w:val="00E03812"/>
    <w:rsid w:val="00E03DB4"/>
    <w:rsid w:val="00E04101"/>
    <w:rsid w:val="00E10188"/>
    <w:rsid w:val="00E15DC4"/>
    <w:rsid w:val="00E161E8"/>
    <w:rsid w:val="00E1729B"/>
    <w:rsid w:val="00E1791D"/>
    <w:rsid w:val="00E20876"/>
    <w:rsid w:val="00E214AF"/>
    <w:rsid w:val="00E221DB"/>
    <w:rsid w:val="00E24934"/>
    <w:rsid w:val="00E25A5B"/>
    <w:rsid w:val="00E2667A"/>
    <w:rsid w:val="00E26EA6"/>
    <w:rsid w:val="00E2767C"/>
    <w:rsid w:val="00E30BDE"/>
    <w:rsid w:val="00E30C8E"/>
    <w:rsid w:val="00E34090"/>
    <w:rsid w:val="00E3451D"/>
    <w:rsid w:val="00E36F67"/>
    <w:rsid w:val="00E4043A"/>
    <w:rsid w:val="00E40F78"/>
    <w:rsid w:val="00E42722"/>
    <w:rsid w:val="00E42B42"/>
    <w:rsid w:val="00E43A52"/>
    <w:rsid w:val="00E44678"/>
    <w:rsid w:val="00E4638A"/>
    <w:rsid w:val="00E47A94"/>
    <w:rsid w:val="00E50817"/>
    <w:rsid w:val="00E50E87"/>
    <w:rsid w:val="00E51E12"/>
    <w:rsid w:val="00E53818"/>
    <w:rsid w:val="00E54906"/>
    <w:rsid w:val="00E56321"/>
    <w:rsid w:val="00E56832"/>
    <w:rsid w:val="00E60D21"/>
    <w:rsid w:val="00E6694B"/>
    <w:rsid w:val="00E676DF"/>
    <w:rsid w:val="00E74F0E"/>
    <w:rsid w:val="00E75D8D"/>
    <w:rsid w:val="00E76D10"/>
    <w:rsid w:val="00E77A94"/>
    <w:rsid w:val="00E816DC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2157"/>
    <w:rsid w:val="00EA444C"/>
    <w:rsid w:val="00EA5F3B"/>
    <w:rsid w:val="00EA607E"/>
    <w:rsid w:val="00EA6824"/>
    <w:rsid w:val="00EB1C5E"/>
    <w:rsid w:val="00EB3805"/>
    <w:rsid w:val="00EB3863"/>
    <w:rsid w:val="00EB44F8"/>
    <w:rsid w:val="00EB4F59"/>
    <w:rsid w:val="00EB4F88"/>
    <w:rsid w:val="00EB526A"/>
    <w:rsid w:val="00EB5C38"/>
    <w:rsid w:val="00EB5FAA"/>
    <w:rsid w:val="00EB7643"/>
    <w:rsid w:val="00EC03C0"/>
    <w:rsid w:val="00EC0F72"/>
    <w:rsid w:val="00EC1220"/>
    <w:rsid w:val="00EC1793"/>
    <w:rsid w:val="00EC2509"/>
    <w:rsid w:val="00EC5467"/>
    <w:rsid w:val="00EC7D90"/>
    <w:rsid w:val="00ED0FC2"/>
    <w:rsid w:val="00ED1E23"/>
    <w:rsid w:val="00ED2426"/>
    <w:rsid w:val="00ED46E2"/>
    <w:rsid w:val="00ED75DE"/>
    <w:rsid w:val="00EE05E2"/>
    <w:rsid w:val="00EE375E"/>
    <w:rsid w:val="00EE387C"/>
    <w:rsid w:val="00EE6417"/>
    <w:rsid w:val="00EF0A6C"/>
    <w:rsid w:val="00EF0CF7"/>
    <w:rsid w:val="00EF1523"/>
    <w:rsid w:val="00EF4FCC"/>
    <w:rsid w:val="00EF4FDD"/>
    <w:rsid w:val="00EF634D"/>
    <w:rsid w:val="00F00746"/>
    <w:rsid w:val="00F00A03"/>
    <w:rsid w:val="00F013F7"/>
    <w:rsid w:val="00F01C08"/>
    <w:rsid w:val="00F02F04"/>
    <w:rsid w:val="00F05CB0"/>
    <w:rsid w:val="00F07734"/>
    <w:rsid w:val="00F07DA1"/>
    <w:rsid w:val="00F07F3F"/>
    <w:rsid w:val="00F14DC5"/>
    <w:rsid w:val="00F152EC"/>
    <w:rsid w:val="00F17281"/>
    <w:rsid w:val="00F216F4"/>
    <w:rsid w:val="00F218DD"/>
    <w:rsid w:val="00F2332C"/>
    <w:rsid w:val="00F251E7"/>
    <w:rsid w:val="00F26603"/>
    <w:rsid w:val="00F3126B"/>
    <w:rsid w:val="00F3127E"/>
    <w:rsid w:val="00F34DC9"/>
    <w:rsid w:val="00F35072"/>
    <w:rsid w:val="00F3607B"/>
    <w:rsid w:val="00F36A78"/>
    <w:rsid w:val="00F37D2E"/>
    <w:rsid w:val="00F37EB5"/>
    <w:rsid w:val="00F41D7A"/>
    <w:rsid w:val="00F431D0"/>
    <w:rsid w:val="00F4421F"/>
    <w:rsid w:val="00F467E1"/>
    <w:rsid w:val="00F47756"/>
    <w:rsid w:val="00F47835"/>
    <w:rsid w:val="00F47F80"/>
    <w:rsid w:val="00F50403"/>
    <w:rsid w:val="00F50846"/>
    <w:rsid w:val="00F51266"/>
    <w:rsid w:val="00F5168F"/>
    <w:rsid w:val="00F53379"/>
    <w:rsid w:val="00F53C9D"/>
    <w:rsid w:val="00F53F3C"/>
    <w:rsid w:val="00F54BAB"/>
    <w:rsid w:val="00F54F3C"/>
    <w:rsid w:val="00F55373"/>
    <w:rsid w:val="00F5577B"/>
    <w:rsid w:val="00F5665F"/>
    <w:rsid w:val="00F60A26"/>
    <w:rsid w:val="00F60A3F"/>
    <w:rsid w:val="00F62249"/>
    <w:rsid w:val="00F64358"/>
    <w:rsid w:val="00F65190"/>
    <w:rsid w:val="00F65B36"/>
    <w:rsid w:val="00F66CD3"/>
    <w:rsid w:val="00F66DAA"/>
    <w:rsid w:val="00F66E91"/>
    <w:rsid w:val="00F67106"/>
    <w:rsid w:val="00F67CCA"/>
    <w:rsid w:val="00F70480"/>
    <w:rsid w:val="00F718E2"/>
    <w:rsid w:val="00F7252A"/>
    <w:rsid w:val="00F74D39"/>
    <w:rsid w:val="00F75BA8"/>
    <w:rsid w:val="00F75CAC"/>
    <w:rsid w:val="00F76047"/>
    <w:rsid w:val="00F765A2"/>
    <w:rsid w:val="00F768FB"/>
    <w:rsid w:val="00F77BD1"/>
    <w:rsid w:val="00F77CC8"/>
    <w:rsid w:val="00F77DDA"/>
    <w:rsid w:val="00F77F03"/>
    <w:rsid w:val="00F80DF8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B526D"/>
    <w:rsid w:val="00FC0E35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2A38"/>
    <w:rsid w:val="00FD41EB"/>
    <w:rsid w:val="00FD5A59"/>
    <w:rsid w:val="00FD5DB1"/>
    <w:rsid w:val="00FD605C"/>
    <w:rsid w:val="00FE0BA2"/>
    <w:rsid w:val="00FE1223"/>
    <w:rsid w:val="00FE30EE"/>
    <w:rsid w:val="00FE3176"/>
    <w:rsid w:val="00FE3BDD"/>
    <w:rsid w:val="00FE452F"/>
    <w:rsid w:val="00FE4CF6"/>
    <w:rsid w:val="00FE550E"/>
    <w:rsid w:val="00FE6052"/>
    <w:rsid w:val="00FE62B4"/>
    <w:rsid w:val="00FE6E82"/>
    <w:rsid w:val="00FE7906"/>
    <w:rsid w:val="00FE7C30"/>
    <w:rsid w:val="00FE7EA0"/>
    <w:rsid w:val="00FF5447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1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nformat">
    <w:name w:val="ConsPlusNonformat"/>
    <w:uiPriority w:val="99"/>
    <w:rsid w:val="00FF7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CC6"/>
    <w:rPr>
      <w:color w:val="605E5C"/>
      <w:shd w:val="clear" w:color="auto" w:fill="E1DFDD"/>
    </w:rPr>
  </w:style>
  <w:style w:type="table" w:customStyle="1" w:styleId="-123">
    <w:name w:val="Светлая заливка - Акцент 123"/>
    <w:basedOn w:val="a1"/>
    <w:uiPriority w:val="60"/>
    <w:rsid w:val="002646FA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4">
    <w:name w:val="Светлая заливка - Акцент 124"/>
    <w:basedOn w:val="a1"/>
    <w:uiPriority w:val="60"/>
    <w:rsid w:val="00431DA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5">
    <w:name w:val="Светлая заливка - Акцент 125"/>
    <w:basedOn w:val="a1"/>
    <w:uiPriority w:val="60"/>
    <w:rsid w:val="00431DA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nformat">
    <w:name w:val="ConsPlusNonformat"/>
    <w:uiPriority w:val="99"/>
    <w:rsid w:val="00FF7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CC6"/>
    <w:rPr>
      <w:color w:val="605E5C"/>
      <w:shd w:val="clear" w:color="auto" w:fill="E1DFDD"/>
    </w:rPr>
  </w:style>
  <w:style w:type="table" w:customStyle="1" w:styleId="-123">
    <w:name w:val="Светлая заливка - Акцент 123"/>
    <w:basedOn w:val="a1"/>
    <w:uiPriority w:val="60"/>
    <w:rsid w:val="002646FA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4">
    <w:name w:val="Светлая заливка - Акцент 124"/>
    <w:basedOn w:val="a1"/>
    <w:uiPriority w:val="60"/>
    <w:rsid w:val="00431DA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5">
    <w:name w:val="Светлая заливка - Акцент 125"/>
    <w:basedOn w:val="a1"/>
    <w:uiPriority w:val="60"/>
    <w:rsid w:val="00431DA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tt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0;&#1077;&#1088;&#1088;&#1080;&#1090;&#1086;&#1088;&#1080;&#1103;&#1090;&#1088;&#1091;&#1076;&#1072;.&#1088;&#1092;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2018-2019 гг.</a:t>
            </a:r>
          </a:p>
        </c:rich>
      </c:tx>
      <c:layout>
        <c:manualLayout>
          <c:xMode val="edge"/>
          <c:yMode val="edge"/>
          <c:x val="0.20871378622156217"/>
          <c:y val="1.3913969800229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27160005135228E-2"/>
          <c:y val="0.23388507580157894"/>
          <c:w val="0.93093331260035417"/>
          <c:h val="0.52777424611140633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8144573283921056E-2"/>
                  <c:y val="8.3619971012082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307912540325E-2"/>
                  <c:y val="0.106128903455390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3456011719088546E-2"/>
                  <c:y val="7.926319283562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1123700218365247E-2"/>
                  <c:y val="9.3638602174849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9019617491399E-2"/>
                  <c:y val="8.5106478022993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42655002681E-2"/>
                  <c:y val="8.4521634071867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1206057320245589E-2"/>
                  <c:y val="9.2095741222701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7612968597415445E-2"/>
                  <c:y val="9.1438736737065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1881334501836377E-2"/>
                  <c:y val="0.10169509583890407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Sheet1!$A$74:$A$98</c:f>
              <c:numCache>
                <c:formatCode>m/d/yyyy</c:formatCode>
                <c:ptCount val="2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</c:numCache>
            </c:numRef>
          </c:cat>
          <c:val>
            <c:numRef>
              <c:f>Sheet1!$B$74:$B$98</c:f>
              <c:numCache>
                <c:formatCode>General</c:formatCode>
                <c:ptCount val="25"/>
                <c:pt idx="0">
                  <c:v>3456</c:v>
                </c:pt>
                <c:pt idx="1">
                  <c:v>3452</c:v>
                </c:pt>
                <c:pt idx="2">
                  <c:v>3732</c:v>
                </c:pt>
                <c:pt idx="3">
                  <c:v>3590</c:v>
                </c:pt>
                <c:pt idx="4">
                  <c:v>3328</c:v>
                </c:pt>
                <c:pt idx="5">
                  <c:v>3116</c:v>
                </c:pt>
                <c:pt idx="6">
                  <c:v>2996</c:v>
                </c:pt>
                <c:pt idx="7">
                  <c:v>3033</c:v>
                </c:pt>
                <c:pt idx="8">
                  <c:v>3093</c:v>
                </c:pt>
                <c:pt idx="9">
                  <c:v>3053</c:v>
                </c:pt>
                <c:pt idx="10">
                  <c:v>2946</c:v>
                </c:pt>
                <c:pt idx="11">
                  <c:v>3069</c:v>
                </c:pt>
                <c:pt idx="12">
                  <c:v>3050</c:v>
                </c:pt>
                <c:pt idx="13">
                  <c:v>3314</c:v>
                </c:pt>
                <c:pt idx="14">
                  <c:v>3660</c:v>
                </c:pt>
                <c:pt idx="15">
                  <c:v>3830</c:v>
                </c:pt>
                <c:pt idx="16">
                  <c:v>3846</c:v>
                </c:pt>
                <c:pt idx="17">
                  <c:v>3606</c:v>
                </c:pt>
                <c:pt idx="18">
                  <c:v>3524</c:v>
                </c:pt>
                <c:pt idx="19">
                  <c:v>3522</c:v>
                </c:pt>
                <c:pt idx="20">
                  <c:v>3654</c:v>
                </c:pt>
                <c:pt idx="21">
                  <c:v>3555</c:v>
                </c:pt>
                <c:pt idx="22">
                  <c:v>3484</c:v>
                </c:pt>
                <c:pt idx="23">
                  <c:v>3622</c:v>
                </c:pt>
                <c:pt idx="24">
                  <c:v>3742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033920"/>
        <c:axId val="195866624"/>
      </c:lineChart>
      <c:dateAx>
        <c:axId val="19403392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86662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958666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033920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1947317469932712"/>
          <c:y val="1.20934650050981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686073333210306E-2"/>
          <c:y val="0.17645142943942238"/>
          <c:w val="0.91191902287453186"/>
          <c:h val="0.474831056615904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36048658914E-2"/>
                  <c:y val="7.2138827816735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97008728386615E-2"/>
                  <c:y val="7.0368484742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54031112177E-2"/>
                  <c:y val="7.1469293166559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434758539240834E-2"/>
                  <c:y val="7.7922367138967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823273237253385E-2"/>
                  <c:y val="6.475343672869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32697311361666E-2"/>
                  <c:y val="8.1544105655681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59100219591E-2"/>
                  <c:y val="7.6379248202321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93408499566347E-2"/>
                  <c:y val="7.8649729817141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798788390255699E-2"/>
                  <c:y val="6.808458041784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811887582808953E-2"/>
                  <c:y val="7.6281604131063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82709305972E-2"/>
                  <c:y val="7.4652832500332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102361232956E-2"/>
                  <c:y val="7.1355836074255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087096589829713E-2"/>
                  <c:y val="8.1482258813525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951680769496924E-2"/>
                  <c:y val="7.6032960842028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72518059324E-2"/>
                  <c:y val="7.315522953287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097768146855342E-2"/>
                  <c:y val="6.3889421551665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08913866339E-2"/>
                  <c:y val="6.6657885619376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44778534413E-2"/>
                  <c:y val="7.1351238195283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57305823399E-2"/>
                  <c:y val="6.9346562963760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15395404004E-2"/>
                  <c:y val="7.5565870431229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8680521345E-2"/>
                  <c:y val="7.3349692767022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6885497591851045E-2"/>
                  <c:y val="8.0735544223513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5820228451218837E-2"/>
                  <c:y val="7.898411793485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8429178364745573E-2"/>
                  <c:y val="8.0021756081438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Лист2!$A$59:$A$83</c:f>
              <c:numCache>
                <c:formatCode>m/d/yyyy</c:formatCode>
                <c:ptCount val="2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</c:numCache>
            </c:numRef>
          </c:cat>
          <c:val>
            <c:numRef>
              <c:f>Лист2!$B$59:$B$83</c:f>
              <c:numCache>
                <c:formatCode>General</c:formatCode>
                <c:ptCount val="25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 formatCode="0.00">
                  <c:v>0.3</c:v>
                </c:pt>
                <c:pt idx="7" formatCode="0.00">
                  <c:v>0.3</c:v>
                </c:pt>
                <c:pt idx="8">
                  <c:v>0.31</c:v>
                </c:pt>
                <c:pt idx="9">
                  <c:v>0.31</c:v>
                </c:pt>
                <c:pt idx="10" formatCode="0.00">
                  <c:v>0.3</c:v>
                </c:pt>
                <c:pt idx="11">
                  <c:v>0.31</c:v>
                </c:pt>
                <c:pt idx="12" formatCode="0.00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  <c:pt idx="22">
                  <c:v>0.34</c:v>
                </c:pt>
                <c:pt idx="23">
                  <c:v>0.35</c:v>
                </c:pt>
                <c:pt idx="24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23738006912E-2"/>
                  <c:y val="6.564256575710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061320145411599E-2"/>
                  <c:y val="8.0725414652022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154472144821095E-2"/>
                  <c:y val="6.8578661953420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99826837335E-2"/>
                  <c:y val="6.309588173389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206178147662895E-2"/>
                  <c:y val="7.5821146355337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299133614672932E-2"/>
                  <c:y val="7.4228914127274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25847465446295E-2"/>
                  <c:y val="8.0766347914971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729641453377867E-2"/>
                  <c:y val="8.6561493925079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453045708697017E-2"/>
                  <c:y val="8.0791062337883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810124731697267E-2"/>
                  <c:y val="7.1422767161290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118968772404708E-2"/>
                  <c:y val="6.5859031963491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10164190119267E-2"/>
                  <c:y val="7.056824645280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840553709149828E-2"/>
                  <c:y val="6.60339263966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24498532966729E-2"/>
                  <c:y val="8.7102121926288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115628056319316E-2"/>
                  <c:y val="7.784657054558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9281327919343094E-2"/>
                  <c:y val="6.6606497560284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5988185681037191E-2"/>
                  <c:y val="6.2396463203309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812496540015871E-2"/>
                  <c:y val="8.5585660382895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27632447915E-2"/>
                  <c:y val="6.6896434398950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9843599703040572E-2"/>
                  <c:y val="6.7668066675736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9537266630396439E-2"/>
                  <c:y val="7.1068874333747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164167933995E-2"/>
                  <c:y val="6.6965132120052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216628382534166E-2"/>
                  <c:y val="7.0174322035198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4938450559972448E-2"/>
                  <c:y val="7.0011903097266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8534819932718E-2"/>
                  <c:y val="6.4793040001276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Лист2!$A$59:$A$83</c:f>
              <c:numCache>
                <c:formatCode>m/d/yyyy</c:formatCode>
                <c:ptCount val="2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</c:numCache>
            </c:numRef>
          </c:cat>
          <c:val>
            <c:numRef>
              <c:f>Лист2!$C$59:$C$83</c:f>
              <c:numCache>
                <c:formatCode>0.0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 formatCode="General">
                  <c:v>0.9</c:v>
                </c:pt>
                <c:pt idx="8" formatCode="General">
                  <c:v>0.9</c:v>
                </c:pt>
                <c:pt idx="9">
                  <c:v>0.9</c:v>
                </c:pt>
                <c:pt idx="10" formatCode="General">
                  <c:v>0.8</c:v>
                </c:pt>
                <c:pt idx="11" formatCode="General">
                  <c:v>0.9</c:v>
                </c:pt>
                <c:pt idx="12" formatCode="General">
                  <c:v>0.9</c:v>
                </c:pt>
                <c:pt idx="13">
                  <c:v>1</c:v>
                </c:pt>
                <c:pt idx="14">
                  <c:v>1</c:v>
                </c:pt>
                <c:pt idx="15" formatCode="General">
                  <c:v>1.1000000000000001</c:v>
                </c:pt>
                <c:pt idx="16" formatCode="General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  <c:pt idx="23">
                  <c:v>0.9</c:v>
                </c:pt>
                <c:pt idx="24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681984"/>
        <c:axId val="206683520"/>
      </c:lineChart>
      <c:dateAx>
        <c:axId val="20668198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68352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0668352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681984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280397113911904"/>
          <c:y val="0.91760174886755341"/>
          <c:w val="0.78762136667029259"/>
          <c:h val="5.330430852541534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6401196968321613"/>
          <c:y val="3.1876238311436672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403606356636182E-2"/>
          <c:y val="0.21673855889658089"/>
          <c:w val="0.92243386320465726"/>
          <c:h val="0.562907357342276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sz="1200" b="0" i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Лист1!$A$73:$A$97</c:f>
              <c:numCache>
                <c:formatCode>dd/mm/yy;@</c:formatCode>
                <c:ptCount val="2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</c:numCache>
            </c:numRef>
          </c:cat>
          <c:val>
            <c:numRef>
              <c:f>Лист1!$B$73:$B$97</c:f>
              <c:numCache>
                <c:formatCode>General</c:formatCode>
                <c:ptCount val="25"/>
                <c:pt idx="0">
                  <c:v>18683</c:v>
                </c:pt>
                <c:pt idx="1">
                  <c:v>19659</c:v>
                </c:pt>
                <c:pt idx="2">
                  <c:v>19391</c:v>
                </c:pt>
                <c:pt idx="3">
                  <c:v>19407</c:v>
                </c:pt>
                <c:pt idx="4">
                  <c:v>20236</c:v>
                </c:pt>
                <c:pt idx="5">
                  <c:v>22998</c:v>
                </c:pt>
                <c:pt idx="6">
                  <c:v>22942</c:v>
                </c:pt>
                <c:pt idx="7">
                  <c:v>23202</c:v>
                </c:pt>
                <c:pt idx="8">
                  <c:v>22896</c:v>
                </c:pt>
                <c:pt idx="9">
                  <c:v>22123</c:v>
                </c:pt>
                <c:pt idx="10">
                  <c:v>19954</c:v>
                </c:pt>
                <c:pt idx="11">
                  <c:v>20046</c:v>
                </c:pt>
                <c:pt idx="12">
                  <c:v>19315</c:v>
                </c:pt>
                <c:pt idx="13">
                  <c:v>18847</c:v>
                </c:pt>
                <c:pt idx="14">
                  <c:v>18885</c:v>
                </c:pt>
                <c:pt idx="15">
                  <c:v>20340</c:v>
                </c:pt>
                <c:pt idx="16">
                  <c:v>20620</c:v>
                </c:pt>
                <c:pt idx="17">
                  <c:v>22546</c:v>
                </c:pt>
                <c:pt idx="18">
                  <c:v>22751</c:v>
                </c:pt>
                <c:pt idx="19">
                  <c:v>23333</c:v>
                </c:pt>
                <c:pt idx="20">
                  <c:v>22585</c:v>
                </c:pt>
                <c:pt idx="21">
                  <c:v>23767</c:v>
                </c:pt>
                <c:pt idx="22">
                  <c:v>22654</c:v>
                </c:pt>
                <c:pt idx="23">
                  <c:v>22322</c:v>
                </c:pt>
                <c:pt idx="24">
                  <c:v>19515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7144064"/>
        <c:axId val="207145600"/>
      </c:barChart>
      <c:dateAx>
        <c:axId val="20714406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>
                <a:solidFill>
                  <a:srgbClr val="002060"/>
                </a:solidFill>
              </a:defRPr>
            </a:pPr>
            <a:endParaRPr lang="ru-RU"/>
          </a:p>
        </c:txPr>
        <c:crossAx val="20714560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7145600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2071440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0.10088</cdr:y>
    </cdr:from>
    <cdr:to>
      <cdr:x>0.05226</cdr:x>
      <cdr:y>0.16514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293522"/>
          <a:ext cx="351530" cy="1869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0.01496</cdr:x>
      <cdr:y>0.08825</cdr:y>
    </cdr:from>
    <cdr:to>
      <cdr:x>0.05761</cdr:x>
      <cdr:y>0.13814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019" y="299233"/>
          <a:ext cx="262405" cy="1691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 sz="9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D21B-491A-4089-83B1-CD037B67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32</Pages>
  <Words>12883</Words>
  <Characters>73436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209</cp:revision>
  <cp:lastPrinted>2019-12-30T13:02:00Z</cp:lastPrinted>
  <dcterms:created xsi:type="dcterms:W3CDTF">2019-04-22T13:29:00Z</dcterms:created>
  <dcterms:modified xsi:type="dcterms:W3CDTF">2020-01-27T11:24:00Z</dcterms:modified>
</cp:coreProperties>
</file>