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38FDE77A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70A77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48A1C4" wp14:editId="4B729C9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934E6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FF21D6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4DC1F71E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214B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169A7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ED41A4" wp14:editId="56FBF7A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74EF5DA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A58E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266C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E6CC3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F47B7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EE6E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0F9D51AA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21529225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77BD4F6F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349D45CB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108B48F4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4A7A61B3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5402FE8C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59DCE1" wp14:editId="617B5138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2E7B4FF" wp14:editId="1E178ACF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11EC17A1" w14:textId="385D471B" w:rsidR="00AB4A3D" w:rsidRPr="00AB4A3D" w:rsidRDefault="00C712AE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за</w:t>
            </w:r>
            <w:r w:rsidR="002C6A43"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Pr="00C7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9 месяцев </w:t>
            </w:r>
            <w:r w:rsidR="006E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2021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14:paraId="29533C01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34D775" wp14:editId="6E3A5614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1B4E5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02F5C0C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1A1C8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8496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CE4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7B1BE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A9D2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C37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5655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2BB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473D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CD80B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90F2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69657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285A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D85C5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1C264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B386A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01C4A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A1E4B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9142B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F052E68" wp14:editId="14D2306A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75ED4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803CF" wp14:editId="08D709F9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B0B3598" w14:textId="77777777" w:rsidR="00F753F0" w:rsidRDefault="00F753F0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2B0B3598" w14:textId="77777777" w:rsidR="00F753F0" w:rsidRDefault="00F753F0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31F5F66" w14:textId="77777777" w:rsidR="00FE3CF7" w:rsidRDefault="00FE3CF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7FA5F27B" w14:textId="63BF6CBD" w:rsidR="00AB4A3D" w:rsidRPr="00D706E6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1C545D9C" w14:textId="25CD14AA" w:rsidR="00AB4A3D" w:rsidRPr="005B4D21" w:rsidRDefault="00B926BB" w:rsidP="00B9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A247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 9 месяцев</w:t>
      </w:r>
      <w:r w:rsidR="00A01CD3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6E676C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21</w:t>
      </w:r>
      <w:r w:rsidR="00AB4A3D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="00C16620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14:paraId="6B97E623" w14:textId="77777777" w:rsidR="00504273" w:rsidRPr="00D706E6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7F19F29" w14:textId="77777777" w:rsidR="00D706E6" w:rsidRPr="009579FB" w:rsidRDefault="00D706E6" w:rsidP="00234919">
      <w:pPr>
        <w:pStyle w:val="21"/>
        <w:rPr>
          <w:szCs w:val="20"/>
        </w:rPr>
      </w:pPr>
      <w:r w:rsidRPr="009579FB">
        <w:rPr>
          <w:szCs w:val="20"/>
        </w:rPr>
        <w:t xml:space="preserve">С начала 2021 года на рынке труда  Ленинградской области отмечено устойчивое снижение численности граждан, обращающихся в органы службы занятости населения и уровня регистрируемой безработицы. </w:t>
      </w:r>
    </w:p>
    <w:p w14:paraId="5CB1E0BD" w14:textId="3036CE2F" w:rsidR="00234919" w:rsidRPr="009579FB" w:rsidRDefault="00234919" w:rsidP="00234919">
      <w:pPr>
        <w:pStyle w:val="21"/>
        <w:rPr>
          <w:szCs w:val="20"/>
        </w:rPr>
      </w:pPr>
      <w:r w:rsidRPr="009579FB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14:paraId="2F07956B" w14:textId="77777777" w:rsidR="00234919" w:rsidRPr="009579FB" w:rsidRDefault="00234919" w:rsidP="00234919">
      <w:pPr>
        <w:pStyle w:val="21"/>
      </w:pPr>
      <w:r w:rsidRPr="009579FB">
        <w:tab/>
      </w:r>
      <w:r w:rsidRPr="009579FB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9579FB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14:paraId="50FBECC8" w14:textId="05AA8DCC" w:rsidR="00234919" w:rsidRPr="009579FB" w:rsidRDefault="00887124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F299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гражданами подан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68341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</w:t>
      </w:r>
      <w:proofErr w:type="spellStart"/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B7965C" w14:textId="77777777" w:rsidR="00234919" w:rsidRPr="009579FB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14:paraId="7D10423A" w14:textId="7E376D01" w:rsidR="00234919" w:rsidRPr="009579FB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A57DF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23838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73C9A02E" w14:textId="2B25B08D" w:rsidR="00234919" w:rsidRPr="009579FB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A57DF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2827</w:t>
      </w:r>
      <w:r w:rsidR="00BA019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130152" w14:textId="6F8DAAF8" w:rsidR="00234919" w:rsidRPr="009579FB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A57DF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2824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9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гражданина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88455" w14:textId="24251108" w:rsidR="007C062A" w:rsidRPr="009579FB" w:rsidRDefault="00234919" w:rsidP="00FE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57DF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2342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7DF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39663B" w14:textId="77777777"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13A57F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4CC0DE97" w14:textId="77777777" w:rsidR="00E9767A" w:rsidRPr="00906D5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1E281E73" w14:textId="23F35725" w:rsidR="00234919" w:rsidRPr="009579FB" w:rsidRDefault="00906D57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3D4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обратились в службу занятости за содействием в поиске подходящей работы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37666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3D4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20622</w:t>
      </w:r>
      <w:r w:rsidR="002D038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38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D4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424E238" w14:textId="1BCB0F90" w:rsidR="00234919" w:rsidRPr="009579FB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60739EA" w14:textId="433C4809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202</w:t>
      </w:r>
      <w:r w:rsidR="00BC3D4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это </w:t>
      </w:r>
      <w:r w:rsidR="00581FD8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3575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</w:t>
      </w:r>
      <w:r w:rsidR="00D25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D257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                  в службу занятости), на </w:t>
      </w:r>
      <w:r w:rsidR="00581FD8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1869</w:t>
      </w:r>
      <w:r w:rsidR="00656E7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AB4A7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581FD8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B4A7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56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581FD8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5444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1FD8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F800375" w14:textId="24648B1D" w:rsidR="00347E71" w:rsidRPr="009579FB" w:rsidRDefault="00347E71" w:rsidP="00347E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A87C8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1354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87C8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</w:t>
      </w:r>
      <w:r w:rsidR="00A87C8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работы), что на 4</w:t>
      </w:r>
      <w:r w:rsidR="00A87C8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человека меньше, чем </w:t>
      </w:r>
      <w:r w:rsidR="00A87C8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года;</w:t>
      </w:r>
    </w:p>
    <w:p w14:paraId="3CA560F3" w14:textId="77777777" w:rsidR="00234919" w:rsidRPr="009579FB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2F851A9A" w14:textId="7D6F4893" w:rsidR="00234919" w:rsidRPr="009579FB" w:rsidRDefault="00D56C3C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="00EB158B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158B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14:paraId="205A54FF" w14:textId="0404D36C" w:rsidR="00234919" w:rsidRPr="009579FB" w:rsidRDefault="00D56C3C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1253 инвалида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401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47B8650" w14:textId="5F6CF2F4" w:rsidR="00234919" w:rsidRPr="009579FB" w:rsidRDefault="00D56C3C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12351 родитель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несовершеннолетних детей (</w:t>
      </w:r>
      <w:r w:rsidR="0098401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32,8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14:paraId="51DC966F" w14:textId="682EC69A" w:rsidR="00234919" w:rsidRPr="009579FB" w:rsidRDefault="00D56C3C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2465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стремящихся возобновить трудовую деятельность после длительного (более года) перерыва, (</w:t>
      </w:r>
      <w:r w:rsidR="0098401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14:paraId="16840555" w14:textId="5A0639AE" w:rsidR="00234919" w:rsidRPr="009579FB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21380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37666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14:paraId="61CD3BA9" w14:textId="267F4D38" w:rsidR="00234919" w:rsidRPr="009579FB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76,1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613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84,6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9769B90" w14:textId="210F92AB" w:rsidR="00234919" w:rsidRPr="009579FB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57,1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613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63A9CA1" w14:textId="20E1A045" w:rsidR="00234919" w:rsidRPr="006A2470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41,3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613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CC08D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35,5</w:t>
      </w:r>
      <w:r w:rsidRPr="005450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0ACE4239" w14:textId="7DCA0609" w:rsidR="00902565" w:rsidRPr="006A2470" w:rsidRDefault="00902565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02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07E5" wp14:editId="4947ED4B">
                <wp:simplePos x="0" y="0"/>
                <wp:positionH relativeFrom="column">
                  <wp:posOffset>416560</wp:posOffset>
                </wp:positionH>
                <wp:positionV relativeFrom="paragraph">
                  <wp:posOffset>94615</wp:posOffset>
                </wp:positionV>
                <wp:extent cx="5581650" cy="1149350"/>
                <wp:effectExtent l="38100" t="38100" r="114300" b="1079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CCFC8" w14:textId="77777777" w:rsidR="00F753F0" w:rsidRPr="007C3260" w:rsidRDefault="00F753F0" w:rsidP="0090256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14:paraId="085A50A2" w14:textId="67673C5F" w:rsidR="00F753F0" w:rsidRPr="00902565" w:rsidRDefault="00F753F0" w:rsidP="0090256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8940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14:paraId="0BD40383" w14:textId="77777777" w:rsidR="00F753F0" w:rsidRPr="00E77951" w:rsidRDefault="00F753F0" w:rsidP="0090256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5F9775F4" w14:textId="77777777" w:rsidR="00F753F0" w:rsidRDefault="00F753F0" w:rsidP="0090256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24347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14:paraId="509508C7" w14:textId="77777777" w:rsidR="00F753F0" w:rsidRDefault="00F753F0" w:rsidP="0090256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167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сентября 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007E8CCB" w14:textId="77777777" w:rsidR="00F753F0" w:rsidRPr="00322CCF" w:rsidRDefault="00F753F0" w:rsidP="0090256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28489 человек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октября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11EBFAB3" w14:textId="77777777" w:rsidR="00F753F0" w:rsidRPr="003500EE" w:rsidRDefault="00F753F0" w:rsidP="00902565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32.8pt;margin-top:7.45pt;width:439.5pt;height:9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" fillcolor="window" strokecolor="#95b3d7" strokeweight="1pt">
                <v:shadow on="t" color="#95b3d7" opacity="26214f" origin="-.5,-.5" offset=".74836mm,.74836mm"/>
                <v:textbox>
                  <w:txbxContent>
                    <w:p w14:paraId="332CCFC8" w14:textId="77777777" w:rsidR="00F753F0" w:rsidRPr="007C3260" w:rsidRDefault="00F753F0" w:rsidP="0090256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14:paraId="085A50A2" w14:textId="67673C5F" w:rsidR="00F753F0" w:rsidRPr="00902565" w:rsidRDefault="00F753F0" w:rsidP="0090256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en-US"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8940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14:paraId="0BD40383" w14:textId="77777777" w:rsidR="00F753F0" w:rsidRPr="00E77951" w:rsidRDefault="00F753F0" w:rsidP="0090256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5F9775F4" w14:textId="77777777" w:rsidR="00F753F0" w:rsidRDefault="00F753F0" w:rsidP="0090256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24347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14:paraId="509508C7" w14:textId="77777777" w:rsidR="00F753F0" w:rsidRDefault="00F753F0" w:rsidP="0090256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167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 xml:space="preserve">сентября </w:t>
                      </w:r>
                      <w:r w:rsidRPr="00675B2B">
                        <w:rPr>
                          <w:color w:val="000000"/>
                          <w:szCs w:val="28"/>
                        </w:rPr>
                        <w:t>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007E8CCB" w14:textId="77777777" w:rsidR="00F753F0" w:rsidRPr="00322CCF" w:rsidRDefault="00F753F0" w:rsidP="0090256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28489 человек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октября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11EBFAB3" w14:textId="77777777" w:rsidR="00F753F0" w:rsidRPr="003500EE" w:rsidRDefault="00F753F0" w:rsidP="00902565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7CAF8" w14:textId="4AC835F0"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14:paraId="775256F2" w14:textId="77777777"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D5D" w14:textId="6FF47FBC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7462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5280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28021</w:t>
      </w:r>
      <w:r w:rsidR="00956E2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E2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 w:rsidR="00956E2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462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90256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33301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14:paraId="6C164E8B" w14:textId="1F39FEC7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</w:t>
      </w:r>
      <w:r w:rsidR="009A537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462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учет поставлено от </w:t>
      </w:r>
      <w:r w:rsidR="009A537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                         в </w:t>
      </w:r>
      <w:proofErr w:type="spellStart"/>
      <w:r w:rsidR="005B02B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</w:t>
      </w:r>
      <w:r w:rsidR="005B02B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9A537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9A537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4039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</w:t>
      </w:r>
      <w:r w:rsidR="005B02B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Всеволожском муниципальном районе (29,</w:t>
      </w:r>
      <w:r w:rsidR="009A537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ED00875" w14:textId="05ACCED0" w:rsidR="00234919" w:rsidRPr="009579FB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39110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в связи </w:t>
      </w:r>
      <w:proofErr w:type="gram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E141F3" w14:textId="4B61504E" w:rsidR="00234919" w:rsidRPr="009579FB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7976</w:t>
      </w:r>
      <w:r w:rsidR="00D32A6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20,4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5ABF220" w14:textId="6081544E" w:rsidR="00234919" w:rsidRPr="009579FB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4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1004</w:t>
      </w:r>
      <w:r w:rsidR="00D32A6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1714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074905C" w14:textId="6AC5F805" w:rsidR="00234919" w:rsidRPr="009579FB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30130</w:t>
      </w:r>
      <w:r w:rsidR="00D32A6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D32A6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5A7A" w:rsidRPr="00957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58B49BAB" w14:textId="77777777" w:rsidR="00803E2C" w:rsidRDefault="00803E2C" w:rsidP="008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24D53" w14:textId="64AA4E59" w:rsidR="00803E2C" w:rsidRDefault="00625A7A" w:rsidP="008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8CA2B7" wp14:editId="65851A21">
            <wp:extent cx="6483350" cy="2705100"/>
            <wp:effectExtent l="0" t="0" r="1270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AD3C0F" w14:textId="77777777" w:rsidR="00234919" w:rsidRPr="00C278C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D9FB96" w14:textId="7146C43A" w:rsidR="0028561D" w:rsidRPr="009579FB" w:rsidRDefault="0028561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численности безработных граждан к началу </w:t>
      </w:r>
      <w:r w:rsidR="009A537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по сравнению              с началом 2021 года отмечено во всех муниципальных районах и Сосновоборском городском округе.</w:t>
      </w:r>
    </w:p>
    <w:p w14:paraId="6448AC25" w14:textId="57196319" w:rsidR="00254BD4" w:rsidRPr="006A2470" w:rsidRDefault="00AB4A3D" w:rsidP="00AB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5300F968" w14:textId="77777777"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14:paraId="25452F8D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октября 2021 года (5280 человек):</w:t>
      </w:r>
    </w:p>
    <w:p w14:paraId="6A3DFC00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4949 человек (93,7%), из них: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66F98CA6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3576 человек (72,3%);</w:t>
      </w:r>
    </w:p>
    <w:p w14:paraId="0E95B7CA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456 человек (9,2%);</w:t>
      </w:r>
    </w:p>
    <w:p w14:paraId="20B8810C" w14:textId="6901F324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464 человек</w:t>
      </w:r>
      <w:r w:rsidR="00687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(9,4%);</w:t>
      </w:r>
    </w:p>
    <w:p w14:paraId="613B79D5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65 человек (1,3%).</w:t>
      </w:r>
      <w:proofErr w:type="gramEnd"/>
    </w:p>
    <w:p w14:paraId="41BDBD5D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5280 безработных граждан:</w:t>
      </w:r>
    </w:p>
    <w:p w14:paraId="27168296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63FF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259C7A41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8 человек (0,2%);</w:t>
      </w:r>
    </w:p>
    <w:p w14:paraId="7F0AC735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93 человека (1,8%);</w:t>
      </w:r>
    </w:p>
    <w:p w14:paraId="5B8933EA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309 человек (5,9%);</w:t>
      </w:r>
    </w:p>
    <w:p w14:paraId="399974FF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409 человек (7,7%);</w:t>
      </w:r>
    </w:p>
    <w:p w14:paraId="4F2A1E12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3024 человека (57,3%);</w:t>
      </w:r>
    </w:p>
    <w:p w14:paraId="1DD084AA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1437 человек (27,2%);</w:t>
      </w:r>
    </w:p>
    <w:p w14:paraId="637E255A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63FF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796BE55A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1914 человек (36,3%);</w:t>
      </w:r>
    </w:p>
    <w:p w14:paraId="3B4AB0F8" w14:textId="77777777" w:rsidR="00163FF4" w:rsidRPr="00163FF4" w:rsidRDefault="00163FF4" w:rsidP="00163FF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1865 человек (35,3%);</w:t>
      </w: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B73FCED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763 человека (14,5%);</w:t>
      </w:r>
    </w:p>
    <w:p w14:paraId="6BBAD9FA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689 человек (13%);</w:t>
      </w:r>
    </w:p>
    <w:p w14:paraId="7A492967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имеющие основного общего образования – 49 человек (0,9%);</w:t>
      </w:r>
    </w:p>
    <w:p w14:paraId="63C64FAC" w14:textId="77777777" w:rsidR="00163FF4" w:rsidRPr="00163FF4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63FF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49EB720B" w14:textId="77777777" w:rsidR="00163FF4" w:rsidRPr="009579FB" w:rsidRDefault="00163FF4" w:rsidP="00163F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2172 человека (41,1%);</w:t>
      </w:r>
    </w:p>
    <w:p w14:paraId="6882F3CC" w14:textId="77777777" w:rsidR="00163FF4" w:rsidRPr="009579FB" w:rsidRDefault="00163FF4" w:rsidP="00163F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369 человек (7%);</w:t>
      </w:r>
    </w:p>
    <w:p w14:paraId="02CFD738" w14:textId="77777777" w:rsidR="00163FF4" w:rsidRPr="009579FB" w:rsidRDefault="00163FF4" w:rsidP="00163F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951 человек (18%);</w:t>
      </w:r>
    </w:p>
    <w:p w14:paraId="7A80275A" w14:textId="77777777" w:rsidR="00163FF4" w:rsidRPr="009579FB" w:rsidRDefault="00163FF4" w:rsidP="00163F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564 человека (10,7%);</w:t>
      </w:r>
    </w:p>
    <w:p w14:paraId="2172A7C1" w14:textId="77777777" w:rsidR="00163FF4" w:rsidRPr="009579FB" w:rsidRDefault="00163FF4" w:rsidP="0016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331 человек (6,3%).</w:t>
      </w:r>
    </w:p>
    <w:p w14:paraId="098A18F2" w14:textId="77777777" w:rsidR="007B2DA7" w:rsidRDefault="007B2DA7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1757AFE" w14:textId="77777777"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32FC1B5F" w14:textId="77777777"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1C62D8" w:rsidRPr="00076E68" w14:paraId="3D6322AE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CA275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32D3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7BE10" w14:textId="77777777" w:rsidR="001C62D8" w:rsidRPr="008F314B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35DDA" w14:textId="77777777" w:rsidR="001C62D8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  <w:p w14:paraId="1BD45F92" w14:textId="77777777" w:rsidR="001C62D8" w:rsidRPr="008F314B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1C62D8" w:rsidRPr="000F63B1" w14:paraId="6C34E865" w14:textId="77777777" w:rsidTr="00CE021E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6415C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6193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27F63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14:paraId="0ACDF786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  <w:p w14:paraId="1A9D7B3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CB4E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536D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6D5E4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4D3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80CF5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5C6C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0BD7ADD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1C62D8" w:rsidRPr="000F63B1" w14:paraId="66834237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45BFC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9E9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63B6E" w14:textId="1B538BEE" w:rsidR="001C62D8" w:rsidRPr="000F63B1" w:rsidRDefault="001C62D8" w:rsidP="007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E1B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4C39" w14:textId="3E25BDFC" w:rsidR="001C62D8" w:rsidRPr="000F63B1" w:rsidRDefault="001C62D8" w:rsidP="007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B14A0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329F2" w14:textId="4E46A355" w:rsidR="001C62D8" w:rsidRPr="000F63B1" w:rsidRDefault="001C62D8" w:rsidP="007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D115D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FE91" w14:textId="1A9923E2" w:rsidR="001C62D8" w:rsidRPr="000F63B1" w:rsidRDefault="001C62D8" w:rsidP="007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DC1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28E9" w14:textId="458F296C" w:rsidR="001C62D8" w:rsidRPr="000F63B1" w:rsidRDefault="001C62D8" w:rsidP="007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163F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10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1C62D8" w:rsidRPr="000F63B1" w14:paraId="0187767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346F" w14:textId="77777777" w:rsidR="001C62D8" w:rsidRPr="000F63B1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87B37" w14:textId="65F7CCB3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BAE3F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86262" w14:textId="131F493E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059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B76B3" w14:textId="4BF688DB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5694D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57242" w14:textId="6449DC7B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D2C2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0718" w14:textId="03E286FE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11AA2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</w:tr>
      <w:tr w:rsidR="00AB10DE" w:rsidRPr="000F63B1" w14:paraId="1E8BD373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7B2BA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07612" w14:textId="7D3DCCA9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30 169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E5015" w14:textId="5B685667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A4D" w14:textId="11D00983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6 911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38069" w14:textId="623455F3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22052" w14:textId="092EB0E7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18 151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E45F" w14:textId="091C2CA3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3 337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F0A6" w14:textId="4F1FA3A9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C594" w14:textId="2AEEC251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9E39" w14:textId="60E025F0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9 372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DDA49" w14:textId="55D01319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1 488</w:t>
            </w:r>
          </w:p>
        </w:tc>
      </w:tr>
      <w:tr w:rsidR="00AB10DE" w:rsidRPr="000F63B1" w14:paraId="2015306B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BADB4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3C4CF" w14:textId="46E1596B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FAC4" w14:textId="4CC7A5C1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E235" w14:textId="7509AFB8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DD26" w14:textId="0CD2330E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E919" w14:textId="5F45533A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E4C4E" w14:textId="18E9296E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23F93" w14:textId="0BD65840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DD22D" w14:textId="24A15B2B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4F838" w14:textId="121C47E0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33717" w14:textId="2A798CF6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  <w:tr w:rsidR="00AB10DE" w:rsidRPr="000F63B1" w14:paraId="2E525669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F4226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99E5E" w14:textId="4E30389C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71F0" w14:textId="222EAC04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8CC58" w14:textId="0FA70A7A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22BC" w14:textId="76FD6983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56D2C" w14:textId="0196B296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19E3" w14:textId="43E72DFD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FD854" w14:textId="39043829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AF790" w14:textId="5D334DDF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8427B" w14:textId="61FE0E20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2335" w14:textId="14217BE8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</w:tr>
      <w:tr w:rsidR="00AB10DE" w:rsidRPr="000F63B1" w14:paraId="19E2A10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CFCA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4377" w14:textId="2AF8913D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DFDC" w14:textId="7389D331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B42B" w14:textId="16499BB3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A6C4" w14:textId="72C5C71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BA28B" w14:textId="0D4DE828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77335" w14:textId="16DC1243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B8162" w14:textId="71EB5D79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F713C" w14:textId="143F4845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BC19" w14:textId="6A70D2D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7F8DA" w14:textId="639B3225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AB10DE" w:rsidRPr="000F63B1" w14:paraId="0BEBDF21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78D17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C6A26" w14:textId="1CE89F76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0EF85" w14:textId="0977F26B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1B89A" w14:textId="20E6F068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3CC61" w14:textId="2873AAFA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7650" w14:textId="00CFFAD6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A311" w14:textId="13B55588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BB25F" w14:textId="6D6DF054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6AF44" w14:textId="5AC433E4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EABDA" w14:textId="05556D8E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3B677" w14:textId="53DF9E7D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AB10DE" w:rsidRPr="000F63B1" w14:paraId="4A91F2B9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BE0A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689A7" w14:textId="233A449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BCDD2" w14:textId="599BB0D6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3B865" w14:textId="56A1791B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5E2FE" w14:textId="787308C4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1FE1F" w14:textId="45D69A7A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A88E" w14:textId="2E9EF6EF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1964" w14:textId="2DA9ACA5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BE7F2" w14:textId="34078DD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07DB" w14:textId="3958A632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2756" w14:textId="44D01493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B10DE" w:rsidRPr="000F63B1" w14:paraId="2FD93037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96D03" w14:textId="77777777" w:rsidR="00AB10DE" w:rsidRPr="000F63B1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E2B5" w14:textId="0D661CB7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12B1" w14:textId="44DBE3E6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0171" w14:textId="0BAFEAE9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F3087" w14:textId="70244023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59B36" w14:textId="54F11B64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03D3D" w14:textId="2373EEF7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9FFBC" w14:textId="6150FF98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4C070" w14:textId="20D94D0B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76D2B" w14:textId="18EC9C31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3D46D" w14:textId="7DB22C35" w:rsidR="00AB10DE" w:rsidRPr="00AB10DE" w:rsidRDefault="00AB10DE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AB10D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</w:tr>
    </w:tbl>
    <w:p w14:paraId="2FC32039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7F974" w14:textId="2F121AAE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безработицы в целом по Ленинградской области к началу </w:t>
      </w:r>
      <w:r w:rsidR="00AB10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80EE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</w:t>
      </w:r>
      <w:r w:rsidR="009C66DC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AB10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(в начале текущего года – </w:t>
      </w:r>
      <w:r w:rsidR="00880EE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14:paraId="02B4290A" w14:textId="77777777" w:rsidR="009C66DC" w:rsidRPr="009062DE" w:rsidRDefault="009C66DC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14:paraId="246A432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1B9E1412" w14:textId="77777777" w:rsidR="00AB4A3D" w:rsidRPr="009062D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74AA2B" w14:textId="05CAD9F0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</w:t>
      </w:r>
      <w:r w:rsidR="00AB10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01.10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110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</w:t>
      </w:r>
      <w:r w:rsidR="00AB10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0,49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E110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612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10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2,89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            </w:t>
      </w:r>
    </w:p>
    <w:p w14:paraId="3034A22C" w14:textId="38ACB8E2" w:rsidR="00A257C2" w:rsidRPr="009579FB" w:rsidRDefault="00A257C2" w:rsidP="007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</w:t>
      </w:r>
      <w:r w:rsidR="00AB10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 года  - 0,49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территориям этот показатель имел значение: </w:t>
      </w:r>
      <w:r w:rsidR="007A138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0,24% в Гатчинском муниципальном районе до 0,95% в </w:t>
      </w:r>
      <w:proofErr w:type="spellStart"/>
      <w:r w:rsidR="007A138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7A138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районе.</w:t>
      </w:r>
    </w:p>
    <w:p w14:paraId="42922E3F" w14:textId="77777777" w:rsidR="009062DE" w:rsidRPr="009062DE" w:rsidRDefault="009062DE" w:rsidP="00A2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14:paraId="2220CB7C" w14:textId="43EDABFB" w:rsidR="00FE3CF7" w:rsidRPr="00A257C2" w:rsidRDefault="0048067C" w:rsidP="00FE3C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EB8ADD" wp14:editId="602EA929">
            <wp:extent cx="6153150" cy="2660650"/>
            <wp:effectExtent l="0" t="0" r="1905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43A2FD" w14:textId="0AD9A5B1" w:rsidR="00825A96" w:rsidRPr="009579FB" w:rsidRDefault="00825A96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</w:t>
      </w:r>
      <w:r w:rsidR="006879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безработицы к началу </w:t>
      </w:r>
      <w:r w:rsidR="00977A7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по сравнению с началом 2021 года отмечено во всех муниципальных районах и Сосновоборском городском округе.</w:t>
      </w:r>
    </w:p>
    <w:p w14:paraId="3387C5C3" w14:textId="0E00D120" w:rsidR="00AB6E3A" w:rsidRPr="009579FB" w:rsidRDefault="00AB6E3A" w:rsidP="00AB6E3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рейтингу показателя «Уровень регистрируемой безработицы» среди субъектов Российской Федерации (по итогам работы за </w:t>
      </w:r>
      <w:r w:rsidR="00096B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2021) – Ленинградская область занимает </w:t>
      </w:r>
      <w:r w:rsidR="002B5CA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2FA0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место (на 01.01.2021 - на 15-м месте среди регионов).</w:t>
      </w:r>
    </w:p>
    <w:p w14:paraId="059862F3" w14:textId="2B609810" w:rsidR="00234919" w:rsidRPr="009062DE" w:rsidRDefault="00234919" w:rsidP="006C2EC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8B595" w14:textId="77777777" w:rsidR="00B2147D" w:rsidRPr="000F63B1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48FADC89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5AEB519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6F6A98" w14:textId="11FE84DC" w:rsidR="00FE3CF7" w:rsidRPr="009579FB" w:rsidRDefault="00AC1241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</w:t>
      </w:r>
      <w:r w:rsidR="00FE3CF7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14:paraId="5758F5F3" w14:textId="77777777" w:rsidR="00FE3CF7" w:rsidRPr="009579FB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0AE055FB" w14:textId="0008F5DD" w:rsidR="00FE3CF7" w:rsidRPr="009579FB" w:rsidRDefault="00226624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работодателями: </w:t>
      </w:r>
    </w:p>
    <w:p w14:paraId="5B4F2478" w14:textId="4BC1FE8D" w:rsidR="00FE3CF7" w:rsidRPr="009579FB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0D413B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91663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«новых» вакансий;</w:t>
      </w:r>
    </w:p>
    <w:p w14:paraId="063708D5" w14:textId="0992A746" w:rsidR="00FE3CF7" w:rsidRPr="009579FB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</w:t>
      </w:r>
      <w:r w:rsidR="000D413B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60717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</w:p>
    <w:p w14:paraId="085A82D0" w14:textId="77777777" w:rsidR="00FE3CF7" w:rsidRPr="009579FB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13591838" w14:textId="2846F10C" w:rsidR="00FE3CF7" w:rsidRPr="009579FB" w:rsidRDefault="00FC6D7F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11969 вакансий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14:paraId="5C02C7BA" w14:textId="2F5E441D" w:rsidR="00FE3CF7" w:rsidRPr="009579FB" w:rsidRDefault="00FC6D7F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9467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14:paraId="71B50AED" w14:textId="64E253BB" w:rsidR="00FE3CF7" w:rsidRPr="009579FB" w:rsidRDefault="00FC6D7F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70227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14:paraId="49711691" w14:textId="2ED57CC6" w:rsidR="00FE3CF7" w:rsidRPr="009579FB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FC6D7F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текущий спрос на рабочую силу составлял </w:t>
      </w:r>
      <w:r w:rsidR="00FD1720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53047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D1720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что на </w:t>
      </w:r>
      <w:r w:rsidR="00FD1720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30962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D1720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начале 2021 года (22085 вакансий).</w:t>
      </w:r>
    </w:p>
    <w:p w14:paraId="127B84E2" w14:textId="780E5335" w:rsidR="00FE3CF7" w:rsidRPr="006A2470" w:rsidRDefault="00FE3CF7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 распределились следующим образом: от 28</w:t>
      </w:r>
      <w:r w:rsidR="00AE686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(0,</w:t>
      </w:r>
      <w:r w:rsidR="00AE686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рабочую силу) в Лодейнопольском муниципальном районе до </w:t>
      </w:r>
      <w:r w:rsidR="00AE686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30016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AE686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AE686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14:paraId="208A4024" w14:textId="77777777" w:rsidR="00096B91" w:rsidRPr="006A2470" w:rsidRDefault="00096B91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5091D" w14:textId="016CB908" w:rsidR="009062DE" w:rsidRPr="009062DE" w:rsidRDefault="00096B91" w:rsidP="00096B91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031144" wp14:editId="2BF9AF3A">
            <wp:extent cx="6153150" cy="2794000"/>
            <wp:effectExtent l="0" t="0" r="19050" b="254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828C2F2" w14:textId="77777777" w:rsidR="00FE3CF7" w:rsidRPr="00096B91" w:rsidRDefault="00FE3CF7" w:rsidP="00096B91">
      <w:pPr>
        <w:pStyle w:val="a3"/>
        <w:contextualSpacing/>
        <w:jc w:val="both"/>
        <w:rPr>
          <w:b w:val="0"/>
          <w:bCs w:val="0"/>
          <w:highlight w:val="yellow"/>
          <w:lang w:val="en-US"/>
        </w:rPr>
      </w:pPr>
    </w:p>
    <w:p w14:paraId="1272C26B" w14:textId="2E1087CE" w:rsidR="00FE3CF7" w:rsidRPr="009579FB" w:rsidRDefault="00FE3CF7" w:rsidP="00FE3CF7">
      <w:pPr>
        <w:pStyle w:val="a3"/>
        <w:ind w:firstLine="709"/>
        <w:contextualSpacing/>
        <w:jc w:val="both"/>
        <w:rPr>
          <w:b w:val="0"/>
          <w:bCs w:val="0"/>
        </w:rPr>
      </w:pPr>
      <w:r w:rsidRPr="009579FB">
        <w:rPr>
          <w:b w:val="0"/>
          <w:bCs w:val="0"/>
        </w:rPr>
        <w:t xml:space="preserve">Из </w:t>
      </w:r>
      <w:r w:rsidR="00152324" w:rsidRPr="009579FB">
        <w:rPr>
          <w:b w:val="0"/>
          <w:bCs w:val="0"/>
        </w:rPr>
        <w:t>53047</w:t>
      </w:r>
      <w:r w:rsidRPr="009579FB">
        <w:rPr>
          <w:b w:val="0"/>
          <w:bCs w:val="0"/>
        </w:rPr>
        <w:t xml:space="preserve"> заявленн</w:t>
      </w:r>
      <w:r w:rsidR="004E3B05" w:rsidRPr="009579FB">
        <w:rPr>
          <w:b w:val="0"/>
          <w:bCs w:val="0"/>
        </w:rPr>
        <w:t>ых</w:t>
      </w:r>
      <w:r w:rsidRPr="009579FB">
        <w:rPr>
          <w:b w:val="0"/>
          <w:bCs w:val="0"/>
        </w:rPr>
        <w:t xml:space="preserve"> работодателями вакансий (текущий спрос) для трудоустройства рабочих предлагались</w:t>
      </w:r>
      <w:r w:rsidR="00166863" w:rsidRPr="009579FB">
        <w:rPr>
          <w:b w:val="0"/>
          <w:bCs w:val="0"/>
        </w:rPr>
        <w:t xml:space="preserve"> 42104</w:t>
      </w:r>
      <w:r w:rsidRPr="009579FB">
        <w:rPr>
          <w:b w:val="0"/>
          <w:bCs w:val="0"/>
        </w:rPr>
        <w:t xml:space="preserve"> вакансии (7</w:t>
      </w:r>
      <w:r w:rsidR="00166863" w:rsidRPr="009579FB">
        <w:rPr>
          <w:b w:val="0"/>
          <w:bCs w:val="0"/>
        </w:rPr>
        <w:t>9</w:t>
      </w:r>
      <w:r w:rsidRPr="009579FB">
        <w:rPr>
          <w:b w:val="0"/>
          <w:bCs w:val="0"/>
        </w:rPr>
        <w:t>,</w:t>
      </w:r>
      <w:r w:rsidR="00166863" w:rsidRPr="009579FB">
        <w:rPr>
          <w:b w:val="0"/>
          <w:bCs w:val="0"/>
        </w:rPr>
        <w:t>4</w:t>
      </w:r>
      <w:r w:rsidRPr="009579FB">
        <w:rPr>
          <w:b w:val="0"/>
          <w:bCs w:val="0"/>
        </w:rPr>
        <w:t xml:space="preserve">%), для инженерно-технических работников                           и служащих – </w:t>
      </w:r>
      <w:r w:rsidR="00166863" w:rsidRPr="009579FB">
        <w:rPr>
          <w:b w:val="0"/>
          <w:bCs w:val="0"/>
        </w:rPr>
        <w:t>10943</w:t>
      </w:r>
      <w:r w:rsidRPr="009579FB">
        <w:rPr>
          <w:b w:val="0"/>
          <w:bCs w:val="0"/>
        </w:rPr>
        <w:t xml:space="preserve"> ваканси</w:t>
      </w:r>
      <w:r w:rsidR="00166863" w:rsidRPr="009579FB">
        <w:rPr>
          <w:b w:val="0"/>
          <w:bCs w:val="0"/>
        </w:rPr>
        <w:t>и</w:t>
      </w:r>
      <w:r w:rsidRPr="009579FB">
        <w:rPr>
          <w:b w:val="0"/>
          <w:bCs w:val="0"/>
        </w:rPr>
        <w:t xml:space="preserve"> (2</w:t>
      </w:r>
      <w:r w:rsidR="00166863" w:rsidRPr="009579FB">
        <w:rPr>
          <w:b w:val="0"/>
          <w:bCs w:val="0"/>
        </w:rPr>
        <w:t>0</w:t>
      </w:r>
      <w:r w:rsidRPr="009579FB">
        <w:rPr>
          <w:b w:val="0"/>
          <w:bCs w:val="0"/>
        </w:rPr>
        <w:t>,</w:t>
      </w:r>
      <w:r w:rsidR="00166863" w:rsidRPr="009579FB">
        <w:rPr>
          <w:b w:val="0"/>
          <w:bCs w:val="0"/>
        </w:rPr>
        <w:t>6</w:t>
      </w:r>
      <w:r w:rsidRPr="009579FB">
        <w:rPr>
          <w:b w:val="0"/>
          <w:bCs w:val="0"/>
        </w:rPr>
        <w:t>%).</w:t>
      </w:r>
    </w:p>
    <w:p w14:paraId="57993346" w14:textId="7A05FC00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отраслей экономики, 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аибольшую потребность в кадрах испытывала сфера </w:t>
      </w:r>
      <w:r w:rsidR="009062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«строительство» – 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31044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вакансий – </w:t>
      </w:r>
      <w:r w:rsidR="00850F6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53047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единиц), далее </w:t>
      </w:r>
      <w:r w:rsidR="009062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деятельности: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B50EB4F" w14:textId="65912752" w:rsidR="00FE3CF7" w:rsidRPr="009579FB" w:rsidRDefault="00747EE6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брабатывающие производства –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6726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(1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672A060" w14:textId="01E19B0A" w:rsidR="00D203C7" w:rsidRPr="009579FB" w:rsidRDefault="00D203C7" w:rsidP="00D20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2536 вакансий (4,8%);</w:t>
      </w:r>
    </w:p>
    <w:p w14:paraId="5A5FF83C" w14:textId="39435F03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управление и обеспечение военной безопасности; социальное обеспечение – 2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066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3C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6119A33" w14:textId="79C64C9E" w:rsidR="006749BE" w:rsidRPr="009579FB" w:rsidRDefault="006749BE" w:rsidP="00674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мотоциклов – 1802 вакансии (3,4%);</w:t>
      </w:r>
    </w:p>
    <w:p w14:paraId="0924FE3C" w14:textId="1CF5CD18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593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(3%);</w:t>
      </w:r>
    </w:p>
    <w:p w14:paraId="27DBE09B" w14:textId="07E60F91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сельское, лесное хозяйство, охота, рыболовство и рыбоводство –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438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 (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94467DC" w14:textId="4BAC2436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1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2,6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0513CB0" w14:textId="687E9F38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гостиниц и предприятий общественного питания – 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(1,</w:t>
      </w:r>
      <w:r w:rsidR="006749B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791F6A5" w14:textId="44792F75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6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(1,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7B1295C" w14:textId="42BC6BD3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508 вакансий (1%);</w:t>
      </w:r>
    </w:p>
    <w:p w14:paraId="0F0D8190" w14:textId="67D2E7CB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489 вакансий (0,9%);</w:t>
      </w:r>
    </w:p>
    <w:p w14:paraId="36F48A4F" w14:textId="787AF951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478 вакансий (0,9%);</w:t>
      </w:r>
    </w:p>
    <w:p w14:paraId="6AA3D9C1" w14:textId="55B34311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450 вакансий (0,9%)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C14C958" w14:textId="56D241B4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449 вакансий (0,8%);</w:t>
      </w:r>
    </w:p>
    <w:p w14:paraId="5C8CEE7A" w14:textId="477B2763" w:rsidR="00C16892" w:rsidRPr="009579FB" w:rsidRDefault="00C16892" w:rsidP="00C16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прочих видов услуг – 202 вакансии (0,4%); </w:t>
      </w:r>
    </w:p>
    <w:p w14:paraId="55AFCF16" w14:textId="36407088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культуры, спорта, организации досуга и развлечений –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вакансии (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16892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7A1FB6A" w14:textId="2085FDCF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1</w:t>
      </w:r>
      <w:r w:rsidR="006466C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 (0,</w:t>
      </w:r>
      <w:r w:rsidR="006466C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3A75337" w14:textId="345A21B6" w:rsidR="00FE3CF7" w:rsidRPr="009579FB" w:rsidRDefault="00FE3CF7" w:rsidP="009062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финансовая и страховая – </w:t>
      </w:r>
      <w:r w:rsidR="006466C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9062D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аканси</w:t>
      </w:r>
      <w:r w:rsidR="006466C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062D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(0,</w:t>
      </w:r>
      <w:r w:rsidR="006466C9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62DE"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r w:rsidRPr="0095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т.д.</w:t>
      </w:r>
    </w:p>
    <w:p w14:paraId="6D4E594A" w14:textId="3D58A4E4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27439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меньше. </w:t>
      </w:r>
    </w:p>
    <w:p w14:paraId="71C45741" w14:textId="77777777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FE3CF7" w:rsidRPr="009579FB" w14:paraId="65D6402B" w14:textId="77777777" w:rsidTr="00F8285B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4543DB2" w14:textId="6F61FD68" w:rsidR="00FE3CF7" w:rsidRPr="009579FB" w:rsidRDefault="00FE3CF7" w:rsidP="00793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="00793D7F"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7887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ECF8A7C" w14:textId="42F00AF8" w:rsidR="00FE3CF7" w:rsidRPr="009579FB" w:rsidRDefault="00E836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97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B00B96B" w14:textId="682493F1" w:rsidR="00FE3CF7" w:rsidRPr="009579FB" w:rsidRDefault="001C27D7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449</w:t>
            </w:r>
          </w:p>
        </w:tc>
      </w:tr>
      <w:tr w:rsidR="00FE3CF7" w:rsidRPr="009579FB" w14:paraId="47FA7FBE" w14:textId="77777777" w:rsidTr="00F8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68AD07" w14:textId="4DE2230F" w:rsidR="00FE3CF7" w:rsidRPr="009579FB" w:rsidRDefault="00FE3CF7" w:rsidP="00793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электрогазосварщик – </w:t>
            </w:r>
            <w:r w:rsidR="00793D7F"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C2C59A" w14:textId="1E9924F6" w:rsidR="00FE3CF7" w:rsidRPr="009579FB" w:rsidRDefault="00E836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803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3798B" w14:textId="6659B317" w:rsidR="00FE3CF7" w:rsidRPr="009579FB" w:rsidRDefault="001C27D7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179</w:t>
            </w:r>
          </w:p>
        </w:tc>
      </w:tr>
      <w:tr w:rsidR="00FE3CF7" w:rsidRPr="009579FB" w14:paraId="14FBA5A4" w14:textId="77777777" w:rsidTr="00F8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0038957" w14:textId="61333CA9" w:rsidR="00FE3CF7" w:rsidRPr="009579FB" w:rsidRDefault="00793D7F" w:rsidP="00FE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2B8CF55" w14:textId="5D951BD2" w:rsidR="00FE3CF7" w:rsidRPr="009579FB" w:rsidRDefault="00E836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728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6F6CBF8" w14:textId="12DF82C4" w:rsidR="00FE3CF7" w:rsidRPr="009579FB" w:rsidRDefault="007A288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155</w:t>
            </w:r>
          </w:p>
        </w:tc>
      </w:tr>
      <w:tr w:rsidR="001C27D7" w:rsidRPr="009579FB" w14:paraId="2B03AB8B" w14:textId="77777777" w:rsidTr="00F8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0E2F11" w14:textId="66FB60E1" w:rsidR="001C27D7" w:rsidRPr="009579FB" w:rsidRDefault="001C27D7" w:rsidP="00FE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1406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05247" w14:textId="1FA6354F" w:rsidR="001C27D7" w:rsidRPr="009579FB" w:rsidRDefault="001C27D7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142FD" w14:textId="7405369B" w:rsidR="001C27D7" w:rsidRPr="009579FB" w:rsidRDefault="007A288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97</w:t>
            </w:r>
          </w:p>
        </w:tc>
      </w:tr>
      <w:tr w:rsidR="001C27D7" w:rsidRPr="009579FB" w14:paraId="0D0E09C9" w14:textId="77777777" w:rsidTr="00F8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6D8BFD9" w14:textId="3B8A6067" w:rsidR="001C27D7" w:rsidRPr="009579FB" w:rsidRDefault="001C27D7" w:rsidP="00FE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1328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444C532" w14:textId="446F0C64" w:rsidR="001C27D7" w:rsidRPr="009579FB" w:rsidRDefault="001C27D7" w:rsidP="00FE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D4DCF14" w14:textId="01195B4D" w:rsidR="001C27D7" w:rsidRPr="009579FB" w:rsidRDefault="007A288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67</w:t>
            </w:r>
          </w:p>
        </w:tc>
      </w:tr>
      <w:tr w:rsidR="001C27D7" w:rsidRPr="009579FB" w14:paraId="3B10F94D" w14:textId="77777777" w:rsidTr="00F828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A1D7D" w14:textId="0CD963F1" w:rsidR="001C27D7" w:rsidRPr="009579FB" w:rsidRDefault="00A77CED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1169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A2A77" w14:textId="20A63958" w:rsidR="001C27D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BD9D7" w14:textId="38921150" w:rsidR="001C27D7" w:rsidRPr="009579FB" w:rsidRDefault="007A288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61</w:t>
            </w:r>
          </w:p>
        </w:tc>
      </w:tr>
      <w:tr w:rsidR="001C27D7" w:rsidRPr="009579FB" w14:paraId="053A55AD" w14:textId="77777777" w:rsidTr="00F8285B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1538E3E7" w14:textId="745EADBB" w:rsidR="001C27D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428BE218" w14:textId="3A79905F" w:rsidR="001C27D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0B6D9002" w14:textId="0735EAB3" w:rsidR="001C27D7" w:rsidRPr="009579FB" w:rsidRDefault="001C27D7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F58320" w14:textId="77777777" w:rsidR="00FE3CF7" w:rsidRPr="009579FB" w:rsidRDefault="00FE3CF7" w:rsidP="00FE3C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41BB8" w14:textId="7280415E" w:rsidR="00FE3CF7" w:rsidRPr="009579FB" w:rsidRDefault="00FE3CF7" w:rsidP="00FE3C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BE4D91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7344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A2010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A2010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10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текущего спроса на рабочую силу). Предложение рабочей силы по этой группе профессий</w:t>
      </w:r>
      <w:r w:rsidR="009062DE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010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10A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меньше.</w:t>
      </w:r>
    </w:p>
    <w:p w14:paraId="3F921F17" w14:textId="77777777" w:rsidR="00FE3CF7" w:rsidRPr="009579FB" w:rsidRDefault="00FE3CF7" w:rsidP="006C2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410"/>
      </w:tblGrid>
      <w:tr w:rsidR="00FE3CF7" w:rsidRPr="009579FB" w14:paraId="0BF49C5F" w14:textId="77777777" w:rsidTr="00DB2AC0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63BF7950" w14:textId="29AB02AC" w:rsidR="00FE3CF7" w:rsidRPr="009579FB" w:rsidRDefault="00F218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1938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39DE899" w14:textId="46B26480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1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BF11D0F" w14:textId="57E876C2" w:rsidR="00FE3CF7" w:rsidRPr="009579FB" w:rsidRDefault="00DB2AC0" w:rsidP="00DB2AC0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="00F8285B"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115</w:t>
            </w:r>
          </w:p>
        </w:tc>
      </w:tr>
      <w:tr w:rsidR="00FE3CF7" w:rsidRPr="009579FB" w14:paraId="22F61CF7" w14:textId="77777777" w:rsidTr="00DB2AC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FACC6" w14:textId="61652565" w:rsidR="00FE3CF7" w:rsidRPr="009579FB" w:rsidRDefault="00F218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33ED9D" w14:textId="12A0790E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F7706" w14:textId="598A38BD" w:rsidR="00FE3CF7" w:rsidRPr="009579FB" w:rsidRDefault="00F8285B" w:rsidP="00FE3CF7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99</w:t>
            </w:r>
          </w:p>
        </w:tc>
      </w:tr>
      <w:tr w:rsidR="00FE3CF7" w:rsidRPr="009579FB" w14:paraId="38E25AF0" w14:textId="77777777" w:rsidTr="00DB2AC0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6C1E5E7" w14:textId="3FE92DF8" w:rsidR="00FE3CF7" w:rsidRPr="009579FB" w:rsidRDefault="00F2186C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679DB545" w14:textId="5959BBAC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– 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83FF68E" w14:textId="43CED14F" w:rsidR="00FE3CF7" w:rsidRPr="009579FB" w:rsidRDefault="00F8285B" w:rsidP="00F8285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 – 98</w:t>
            </w:r>
          </w:p>
        </w:tc>
      </w:tr>
      <w:tr w:rsidR="00FE3CF7" w:rsidRPr="009579FB" w14:paraId="72A97CFC" w14:textId="77777777" w:rsidTr="00DB2AC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C76940" w14:textId="6185A3D2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DA1B4" w14:textId="4412737A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D14DFB" w14:textId="65BFDE28" w:rsidR="00FE3CF7" w:rsidRPr="009579FB" w:rsidRDefault="00F8285B" w:rsidP="00FE3CF7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87</w:t>
            </w:r>
          </w:p>
        </w:tc>
      </w:tr>
      <w:tr w:rsidR="00FE3CF7" w:rsidRPr="009579FB" w14:paraId="65760231" w14:textId="77777777" w:rsidTr="00DB2AC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6B2CB17A" w14:textId="480B550A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CA17EBF" w14:textId="6A83327D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A882EBE" w14:textId="05662BE3" w:rsidR="00FE3CF7" w:rsidRPr="009579FB" w:rsidRDefault="00F8285B" w:rsidP="00FE3CF7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22</w:t>
            </w:r>
          </w:p>
        </w:tc>
      </w:tr>
      <w:tr w:rsidR="00FE3CF7" w:rsidRPr="009579FB" w14:paraId="67779648" w14:textId="77777777" w:rsidTr="00DB2AC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3F0377" w14:textId="6C4F7F1F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74DB20" w14:textId="60189CEB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72DE0" w14:textId="53B302F7" w:rsidR="00FE3CF7" w:rsidRPr="009579FB" w:rsidRDefault="00F8285B" w:rsidP="00FE3CF7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11</w:t>
            </w:r>
          </w:p>
        </w:tc>
      </w:tr>
      <w:tr w:rsidR="00FE3CF7" w:rsidRPr="009579FB" w14:paraId="3449EB68" w14:textId="77777777" w:rsidTr="00DB2AC0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71CD32ED" w14:textId="1488550E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6827A814" w14:textId="17F032F6" w:rsidR="00FE3CF7" w:rsidRPr="009579FB" w:rsidRDefault="00DB2AC0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="00734D39"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5467FC61" w14:textId="4DE47F17" w:rsidR="00FE3CF7" w:rsidRPr="009579FB" w:rsidRDefault="00FE3CF7" w:rsidP="00FE3CF7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2D8CA47" w14:textId="77777777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4C2F0" w14:textId="23430212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6</w:t>
      </w:r>
      <w:r w:rsidR="00407C5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3B378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407C5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C5D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текущего спроса на рабочую силу). Предложение рабочей силы по этой группе профессий в 7,8 раз меньше.</w:t>
      </w:r>
    </w:p>
    <w:p w14:paraId="7A472D0D" w14:textId="77777777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260"/>
      </w:tblGrid>
      <w:tr w:rsidR="00FE3CF7" w:rsidRPr="009579FB" w14:paraId="49662C1B" w14:textId="77777777" w:rsidTr="00F8285B">
        <w:tc>
          <w:tcPr>
            <w:tcW w:w="10348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79850F3" w14:textId="7BC1D5BC" w:rsidR="00FE3CF7" w:rsidRPr="009579FB" w:rsidRDefault="00FE3CF7" w:rsidP="009912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рабочие (включая подсобных рабочих, кухонных рабочих, дорожных рабочих, рабочих) – </w:t>
            </w:r>
            <w:r w:rsidR="0099122D"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3395</w:t>
            </w:r>
          </w:p>
        </w:tc>
      </w:tr>
      <w:tr w:rsidR="00FE3CF7" w:rsidRPr="009579FB" w14:paraId="47F8AE04" w14:textId="77777777" w:rsidTr="00F8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B6D9A1" w14:textId="60C75843" w:rsidR="00FE3CF7" w:rsidRPr="009579FB" w:rsidRDefault="0099122D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C7DCD0" w14:textId="0BDAC2AA" w:rsidR="00FE3CF7" w:rsidRPr="009579FB" w:rsidRDefault="00FE3CF7" w:rsidP="00FE3CF7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="00D303EA"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F03FD" w14:textId="688BC97F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50</w:t>
            </w:r>
          </w:p>
        </w:tc>
      </w:tr>
      <w:tr w:rsidR="00FE3CF7" w:rsidRPr="009579FB" w14:paraId="456BE628" w14:textId="77777777" w:rsidTr="00F8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A38B6A2" w14:textId="67CDC391" w:rsidR="00FE3CF7" w:rsidRPr="009579FB" w:rsidRDefault="0099122D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477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CC31CE6" w14:textId="131A4D82" w:rsidR="00FE3CF7" w:rsidRPr="009579FB" w:rsidRDefault="00D303EA" w:rsidP="00FE3CF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438784C" w14:textId="6818F21C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46</w:t>
            </w:r>
          </w:p>
        </w:tc>
      </w:tr>
      <w:tr w:rsidR="00FE3CF7" w:rsidRPr="009579FB" w14:paraId="263A71E0" w14:textId="77777777" w:rsidTr="00F8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9719C" w14:textId="2AB58952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48CA" w14:textId="0CA4F531" w:rsidR="00FE3CF7" w:rsidRPr="009579FB" w:rsidRDefault="00D303EA" w:rsidP="00FE3CF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D1C11" w14:textId="71A31F41" w:rsidR="00FE3CF7" w:rsidRPr="009579FB" w:rsidRDefault="00D303EA" w:rsidP="00FE3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22</w:t>
            </w:r>
          </w:p>
        </w:tc>
      </w:tr>
      <w:tr w:rsidR="00FE3CF7" w:rsidRPr="009579FB" w14:paraId="626064E9" w14:textId="77777777" w:rsidTr="00F8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B2F639C" w14:textId="31767551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40D2B37" w14:textId="4B11690B" w:rsidR="00FE3CF7" w:rsidRPr="009579FB" w:rsidRDefault="00FE3CF7" w:rsidP="00FE3CF7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="00D303EA"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83FCB21" w14:textId="4307B50A" w:rsidR="00FE3CF7" w:rsidRPr="009579FB" w:rsidRDefault="00D303EA" w:rsidP="00FE3C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</w:t>
            </w:r>
          </w:p>
        </w:tc>
      </w:tr>
      <w:tr w:rsidR="00FE3CF7" w:rsidRPr="009579FB" w14:paraId="53974110" w14:textId="77777777" w:rsidTr="00F8285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0C3A21" w14:textId="627715C8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EC4A7" w14:textId="021EB58E" w:rsidR="00FE3CF7" w:rsidRPr="009579FB" w:rsidRDefault="00D303EA" w:rsidP="00FE3CF7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B0B25" w14:textId="6B6F05C4" w:rsidR="00FE3CF7" w:rsidRPr="009579FB" w:rsidRDefault="00FE3CF7" w:rsidP="00FE3CF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F7" w:rsidRPr="009579FB" w14:paraId="09FD9DED" w14:textId="77777777" w:rsidTr="00F8285B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6CA7EC9C" w14:textId="79C49E02" w:rsidR="00FE3CF7" w:rsidRPr="009579FB" w:rsidRDefault="00D303EA" w:rsidP="00FE3C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012D08CC" w14:textId="59CE1323" w:rsidR="00FE3CF7" w:rsidRPr="009579FB" w:rsidRDefault="00D303EA" w:rsidP="00FE3CF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37B731C8" w14:textId="77777777" w:rsidR="00FE3CF7" w:rsidRPr="009579FB" w:rsidRDefault="00FE3CF7" w:rsidP="00FE3CF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A04AFD" w14:textId="77777777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A719" w14:textId="116265DD" w:rsidR="00FE3CF7" w:rsidRPr="009579FB" w:rsidRDefault="00FE3CF7" w:rsidP="00FE3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109F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53047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</w:t>
      </w:r>
      <w:r w:rsidR="00B109F6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3C4618" w14:textId="32E119E2" w:rsidR="00FE3CF7" w:rsidRPr="002668F4" w:rsidRDefault="00D6531C" w:rsidP="00FE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предоставлена работодателями, представлявшими муниципальные виды собственности, 4900 вакансий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и 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46149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(8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3CF7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14:paraId="2551C2A5" w14:textId="77777777" w:rsidR="00234919" w:rsidRPr="00311C6D" w:rsidRDefault="00234919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CA4F009" w14:textId="77777777" w:rsidR="00C03531" w:rsidRPr="000F63B1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14:paraId="6E9956AB" w14:textId="77777777" w:rsidR="00C03531" w:rsidRPr="00311C6D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0B9ED051" w14:textId="26A8C61A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CF436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F1002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6AA6002" w14:textId="1BD5B92C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7A7E6C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17293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A7E6C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32097D" w14:textId="6D0707AB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007393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45,9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0F99EE5B" w14:textId="202BE41B" w:rsidR="00DC4A98" w:rsidRPr="009579FB" w:rsidRDefault="005F6FD4" w:rsidP="00DC4A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28D5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</w:t>
      </w:r>
      <w:r w:rsidRPr="009579FB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9579FB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9579FB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  <w:r w:rsidR="006828D5" w:rsidRPr="009579FB">
        <w:rPr>
          <w:rFonts w:ascii="Times New Roman" w:eastAsia="Calibri" w:hAnsi="Times New Roman" w:cs="Times New Roman"/>
          <w:sz w:val="24"/>
          <w:szCs w:val="24"/>
        </w:rPr>
        <w:t>Сосновоборском (6</w:t>
      </w:r>
      <w:r w:rsidR="00DC4A98" w:rsidRPr="009579FB">
        <w:rPr>
          <w:rFonts w:ascii="Times New Roman" w:eastAsia="Calibri" w:hAnsi="Times New Roman" w:cs="Times New Roman"/>
          <w:sz w:val="24"/>
          <w:szCs w:val="24"/>
        </w:rPr>
        <w:t>3,2</w:t>
      </w:r>
      <w:r w:rsidR="006828D5" w:rsidRPr="009579FB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proofErr w:type="spellStart"/>
      <w:proofErr w:type="gram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proofErr w:type="gram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(60,2%),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(58,5%),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(54,2%), Приозерском (54,1%),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Лодейнопольском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(52,5%),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(51,6%), Бокситогорском (52,1%),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(49,8%),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(47,9%), </w:t>
      </w:r>
      <w:proofErr w:type="spellStart"/>
      <w:r w:rsidR="00DC4A98" w:rsidRPr="009579FB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="00DC4A98" w:rsidRPr="009579FB">
        <w:rPr>
          <w:rFonts w:ascii="Times New Roman" w:eastAsia="Calibri" w:hAnsi="Times New Roman" w:cs="Times New Roman"/>
          <w:sz w:val="24"/>
          <w:szCs w:val="24"/>
        </w:rPr>
        <w:t xml:space="preserve"> (47,4%).</w:t>
      </w:r>
    </w:p>
    <w:p w14:paraId="6CDDE374" w14:textId="540C121B" w:rsidR="00234919" w:rsidRPr="009579F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760C1E" w:rsidRPr="009579FB">
        <w:rPr>
          <w:rFonts w:ascii="Times New Roman" w:eastAsia="Calibri" w:hAnsi="Times New Roman" w:cs="Times New Roman"/>
          <w:sz w:val="24"/>
          <w:szCs w:val="24"/>
        </w:rPr>
        <w:t>53,9</w:t>
      </w:r>
      <w:r w:rsidRPr="009579FB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176BDC58" w14:textId="77777777" w:rsidR="00234919" w:rsidRPr="009579FB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1FF0D18B" w14:textId="6349F058" w:rsidR="00234919" w:rsidRPr="009579FB" w:rsidRDefault="00D96593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9085</w:t>
      </w:r>
      <w:r w:rsidR="006B544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E93FC80" w14:textId="05569818" w:rsidR="006B5444" w:rsidRPr="009579FB" w:rsidRDefault="00D96593" w:rsidP="006B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3511</w:t>
      </w:r>
      <w:r w:rsidR="006B544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имеющих, несовершеннолетних детей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20,3</w:t>
      </w:r>
      <w:r w:rsidR="006B544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4A39676" w14:textId="023AE2A5" w:rsidR="00234919" w:rsidRPr="009579FB" w:rsidRDefault="00D96593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9926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57,4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7411E94" w14:textId="23CD8922" w:rsidR="00234919" w:rsidRPr="009579FB" w:rsidRDefault="00D96593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B5444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83EF6F9" w14:textId="485DAA90" w:rsidR="00234919" w:rsidRPr="009579FB" w:rsidRDefault="00D96593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E049FC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234919" w:rsidRPr="009579F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29574D1" w14:textId="77777777" w:rsidR="00234919" w:rsidRPr="00311C6D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0AAF3EE9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000D20FA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646CD0" w14:textId="611488B1" w:rsidR="003F32EB" w:rsidRDefault="003F32EB" w:rsidP="00D706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14:paraId="6B5AC44E" w14:textId="77777777" w:rsidR="00311C6D" w:rsidRPr="00311C6D" w:rsidRDefault="00311C6D" w:rsidP="00D706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  <w:lang w:eastAsia="ru-RU"/>
        </w:rPr>
      </w:pPr>
    </w:p>
    <w:p w14:paraId="49AF0D58" w14:textId="73B846CB" w:rsidR="003F32EB" w:rsidRPr="007D4E6C" w:rsidRDefault="003F32EB" w:rsidP="007D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0D49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в поиске работы, из них: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0D49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CC0D49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– гражданина </w:t>
      </w:r>
      <w:proofErr w:type="spellStart"/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                            23 – родителя, имеющие несовершеннолетних детей; </w:t>
      </w:r>
      <w:r w:rsidR="00996F79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65BE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65BE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освобожд</w:t>
      </w:r>
      <w:r w:rsidR="00CA3511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865BE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05E5" w:rsidRPr="007D4E6C">
        <w:t xml:space="preserve">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 гражданин в возрасте</w:t>
      </w:r>
      <w:r w:rsidR="007D4E6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до 20 лет, имеющий среднее профессиональное образование и ищущий работу впервые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5B9FCFF0" w14:textId="1378EEFB" w:rsidR="003F32EB" w:rsidRPr="009062DE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</w:t>
      </w:r>
      <w:r w:rsidR="00CC0D49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городских жителей – 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91231" w14:textId="77777777" w:rsidR="003F32EB" w:rsidRPr="000F63B1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870EB4" w14:textId="056DD1C1" w:rsidR="003F32EB" w:rsidRDefault="003F32EB" w:rsidP="00D706E6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14:paraId="341E3B2F" w14:textId="77777777" w:rsidR="00311C6D" w:rsidRPr="00311C6D" w:rsidRDefault="00311C6D" w:rsidP="00D706E6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  <w:lang w:eastAsia="ru-RU"/>
        </w:rPr>
      </w:pPr>
    </w:p>
    <w:p w14:paraId="074BFE10" w14:textId="64F3C940" w:rsidR="003F32EB" w:rsidRPr="007D4E6C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возрасте                     от 14 до 18 лет в свободное от учебы время, в том числе:</w:t>
      </w:r>
    </w:p>
    <w:p w14:paraId="095E6A3B" w14:textId="7024AFA6" w:rsidR="003F32EB" w:rsidRPr="007D4E6C" w:rsidRDefault="00B62DEF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0154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3F32EB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061E18AD" w14:textId="4E725196" w:rsidR="003F32EB" w:rsidRPr="007D4E6C" w:rsidRDefault="00B62DEF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2407</w:t>
      </w:r>
      <w:r w:rsidR="003F32EB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7D4E6C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41D5699B" w14:textId="3C69F7C2" w:rsidR="005305E5" w:rsidRPr="00311C6D" w:rsidRDefault="005305E5" w:rsidP="0031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                                в организации культурно-досуговых мероприятий, работали с библиотечными фондами, оказывали помощь на дому гражданам пожилого возраста, ветеранам и участникам Великой Отечественной войны.</w:t>
      </w:r>
    </w:p>
    <w:p w14:paraId="47966DC7" w14:textId="77777777" w:rsidR="00D864E6" w:rsidRDefault="00D864E6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14:paraId="3052ACDB" w14:textId="47F10C33" w:rsidR="003F32EB" w:rsidRDefault="00D706E6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4852A36B" w14:textId="77777777" w:rsidR="00311C6D" w:rsidRPr="00311C6D" w:rsidRDefault="00311C6D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  <w:lang w:eastAsia="ru-RU"/>
        </w:rPr>
      </w:pPr>
    </w:p>
    <w:p w14:paraId="6EBE0D05" w14:textId="75B6A360" w:rsidR="003F32EB" w:rsidRPr="007D4E6C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оплачиваемые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работы трудоустроен</w:t>
      </w:r>
      <w:r w:rsidR="00CD62E7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DE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0C067341" w14:textId="77777777" w:rsidR="003F32EB" w:rsidRPr="007D4E6C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приступивших к оплачиваемым общественным работам: </w:t>
      </w:r>
    </w:p>
    <w:p w14:paraId="17483EAB" w14:textId="30C32D10" w:rsidR="002F4351" w:rsidRPr="00512A1B" w:rsidRDefault="00B62DEF" w:rsidP="0051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безработные граждане;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10D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="000410D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05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0467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впервые ищущие работу, из них:</w:t>
      </w:r>
      <w:r w:rsidR="00A60BE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0D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3F32E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</w:p>
    <w:p w14:paraId="7A913503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 безработных граждан</w:t>
      </w:r>
    </w:p>
    <w:p w14:paraId="2FABB78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AC0D81" w14:textId="77777777" w:rsidR="00AB4A3D" w:rsidRPr="007D4E6C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14:paraId="088F03CE" w14:textId="4AE369F7" w:rsidR="00AB4A3D" w:rsidRPr="007D4E6C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6EC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BB119A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1FD8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A7B73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5743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51FD8" w:rsidRPr="007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191A590" w14:textId="43FF8B2F" w:rsidR="00AB4A3D" w:rsidRPr="007D4E6C" w:rsidRDefault="00AB4A3D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госусл</w:t>
      </w:r>
      <w:r w:rsidR="009F473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2342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6028B93" w14:textId="21857344" w:rsidR="003A5743" w:rsidRPr="007D4E6C" w:rsidRDefault="003A5743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зарегистрировались в качестве плательщиков налога на профессиональный доход </w:t>
      </w:r>
      <w:r w:rsidR="00512A1B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получивших госуслугу);</w:t>
      </w:r>
    </w:p>
    <w:p w14:paraId="7B897A33" w14:textId="5E33EE36" w:rsidR="00AB4A3D" w:rsidRPr="007D4E6C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собственное дело после получения госуслуги по содействию самозанятости</w:t>
      </w:r>
      <w:r w:rsidR="000E6F2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7536C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получивших госуслугу)</w:t>
      </w:r>
      <w:r w:rsidR="00AB4A3D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421DE27" w14:textId="49254FEE" w:rsidR="00AB4A3D" w:rsidRPr="007D4E6C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06EC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14:paraId="0254601A" w14:textId="1ACF745E" w:rsidR="00FA7B73" w:rsidRPr="007D4E6C" w:rsidRDefault="002F06E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3A574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="003A574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финансовую помощь на создание             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A574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4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трудоустроили 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574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</w:t>
      </w:r>
      <w:r w:rsidR="00FA7B73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F7886E" w14:textId="29FFCC37" w:rsidR="00AB4A3D" w:rsidRPr="007D4E6C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BB119A"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7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 гражданам.</w:t>
      </w:r>
    </w:p>
    <w:p w14:paraId="539E968D" w14:textId="77777777" w:rsidR="003A5743" w:rsidRPr="00D706E6" w:rsidRDefault="003A574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C708A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14:paraId="77264A7A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41D30" w14:textId="35D21667" w:rsidR="00AB4A3D" w:rsidRPr="00311C6D" w:rsidRDefault="000A6D3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F8699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294F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4247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5127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15546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9926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63,8</w:t>
      </w:r>
      <w:r w:rsidR="00AB4A3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1FE07F73" w14:textId="77777777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14:paraId="02861D6C" w14:textId="62ADB7D5" w:rsidR="00AB4A3D" w:rsidRPr="00311C6D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25C01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5F0D809E" w14:textId="22E58E58" w:rsidR="00AB4A3D" w:rsidRPr="00311C6D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425C01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8C6C36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25C01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14:paraId="240C2429" w14:textId="68E7E268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425C01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00D40EEB" w14:textId="61691D6F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285D3C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1B4AEE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14:paraId="624CEE90" w14:textId="6579A1E5" w:rsidR="00B878D2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4E6AAC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8F610" w14:textId="513210B0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2779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F9214F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F9214F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3401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21B48A66" w14:textId="77777777" w:rsidR="000742F4" w:rsidRPr="00311C6D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 или среднего профессионального образования</w:t>
      </w:r>
      <w:r w:rsidR="000742F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B5271F" w14:textId="77777777" w:rsidR="00311C6D" w:rsidRDefault="00311C6D" w:rsidP="00D864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0ACC31A2" w14:textId="77777777" w:rsidR="00D864E6" w:rsidRDefault="00D864E6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698C082" w14:textId="77777777" w:rsidR="00D864E6" w:rsidRDefault="00D864E6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3D1E1EF5" w14:textId="77777777" w:rsidR="00D864E6" w:rsidRDefault="00D864E6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2F15218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0EE743C1" w14:textId="218BA55A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</w:t>
      </w:r>
      <w:r w:rsidR="005D29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возраста 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трех лет</w:t>
      </w:r>
    </w:p>
    <w:p w14:paraId="591EFF34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53161A8" w14:textId="2CAAC60D" w:rsidR="00AB4A3D" w:rsidRPr="00311C6D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52B4B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A60BE3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52B4B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52B4B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083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C6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345A9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7C35DC" w14:textId="393ABB73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3511</w:t>
      </w:r>
      <w:r w:rsidR="00A60BE3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5294F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родители –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E4B7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410DD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60BE3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 родители, имеющие детей-инвалидов – 2 человека.</w:t>
      </w:r>
      <w:proofErr w:type="gramEnd"/>
    </w:p>
    <w:p w14:paraId="61EF18C9" w14:textId="4405B9BD" w:rsidR="005D2988" w:rsidRPr="00311C6D" w:rsidRDefault="006E3551" w:rsidP="005D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</w:t>
      </w:r>
      <w:r w:rsidR="005D2988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службы занятости населения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4B7E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E9753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8E4B7E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r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родители – </w:t>
      </w:r>
      <w:r w:rsidR="00E9753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D2988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женщины в период  отпуска по уходу за ребенком до дост</w:t>
      </w:r>
      <w:r w:rsidR="00E9753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 им возраста трех лет – 72</w:t>
      </w:r>
      <w:r w:rsidR="005D2988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97534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2988" w:rsidRPr="0031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3206A" w14:textId="5CB6F9C2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9E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F69E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CF69E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D817FA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F69E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FF04C2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7536FB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04C2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13AF310B" w14:textId="0C1D72A4" w:rsidR="00AB4A3D" w:rsidRPr="00311C6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04C2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2317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3014E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FF04C2"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26,5</w:t>
      </w:r>
      <w:r w:rsidRPr="0031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14:paraId="42F91EC1" w14:textId="77777777" w:rsidR="00AB4A3D" w:rsidRPr="0043014E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1DAEF2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0FCD7C25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9203F14" w14:textId="32AC77EA" w:rsidR="00AB4A3D" w:rsidRPr="007C7F66" w:rsidRDefault="006406F3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5654B7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9509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="0010241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AE3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AF673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1253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F673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6C0C7F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673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4520BF7A" w14:textId="52D8F86B" w:rsidR="00AB4A3D" w:rsidRPr="007C7F66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AF673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423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EB4247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B9509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7F068F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2470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3,8</w:t>
      </w:r>
      <w:r w:rsidR="00AB4A3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145E83AA" w14:textId="0090F635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6A2470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10950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49581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6A2470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906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08EDCA28" w14:textId="77777777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14:paraId="25711941" w14:textId="052A3DB2" w:rsidR="00DD7C71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425C01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1053</w:t>
      </w:r>
      <w:r w:rsidR="001A22D5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25C01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A2470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E29958" w14:textId="05F50B4B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1C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2811C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9044E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5A17B2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5A17B2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госуслугу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1B0CA" w14:textId="562C79C0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</w:t>
      </w:r>
      <w:r w:rsidR="002811C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2811C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20,75</w:t>
      </w:r>
      <w:r w:rsidR="002F4351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численности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881DE8" w14:textId="72DC49D7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F04C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5257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5033A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817FA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04C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F03608" w14:textId="397765A4" w:rsidR="00D817FA" w:rsidRPr="007C7F66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7536FB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ске работы – </w:t>
      </w:r>
      <w:r w:rsidR="005033A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F04C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0963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FF04C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53,8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госуслугу;</w:t>
      </w:r>
    </w:p>
    <w:p w14:paraId="6755A832" w14:textId="6A82DFB7" w:rsidR="00AB4A3D" w:rsidRPr="007C7F6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285D3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</w:t>
      </w:r>
      <w:r w:rsidR="002A194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EB4247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285D3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18,1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2DAB0C" w14:textId="01B0C151" w:rsidR="00BE1374" w:rsidRPr="007C7F66" w:rsidRDefault="00BE1374" w:rsidP="00B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профессион</w:t>
      </w:r>
      <w:r w:rsidR="00E9753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образованию приступили 37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относящихся к категории инвалидов, из числа безработных граждан,       </w:t>
      </w:r>
      <w:r w:rsidR="003506E0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что составило 2,7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госуслугу,                    и 1 незанятый инвалид.</w:t>
      </w:r>
    </w:p>
    <w:p w14:paraId="314D8F8F" w14:textId="78470393" w:rsidR="00063496" w:rsidRPr="007C7F66" w:rsidRDefault="0089233B" w:rsidP="00B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741D33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обучения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создания сайта. Базовые понятия интернет-маркетинга», «Охрана </w:t>
      </w:r>
      <w:proofErr w:type="spellStart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Start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ехносферная</w:t>
      </w:r>
      <w:proofErr w:type="spellEnd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«Охранник», «Водитель погрузчика», «Помощник воспитателя», «Складской учет на ПК»,  </w:t>
      </w:r>
      <w:r w:rsidR="003506E0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управлению персоналом», «Теория и методика дошкольного </w:t>
      </w:r>
      <w:proofErr w:type="spellStart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82E0C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69E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«Педагог </w:t>
      </w:r>
      <w:r w:rsidR="0077569E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образования», «Управление государственными и муниципальными закупками»</w:t>
      </w:r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74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E0C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B08"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7C7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AF316" w14:textId="0050E943" w:rsidR="00AB4A3D" w:rsidRPr="00D864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D864E6"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1782 </w:t>
      </w:r>
      <w:r w:rsidR="00B94A78"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64E6"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="00497918"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4C6902" w14:textId="77777777" w:rsidR="00AB4A3D" w:rsidRPr="00D864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–комитет) посредством проведения плановых проверок юридических лиц, индивидуальных предпринимателей. </w:t>
      </w:r>
    </w:p>
    <w:p w14:paraId="6E655FA5" w14:textId="6FD7A7AD" w:rsidR="00AB4A3D" w:rsidRPr="007C7F66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</w:t>
      </w:r>
      <w:r w:rsidR="00DE2AF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331E39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658D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9509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="009B5A6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B4247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B9509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421328B0" w14:textId="3F488279" w:rsidR="000742F4" w:rsidRPr="007C7F66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BFA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A8653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0B2BFA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BFA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740CC991" w14:textId="77777777" w:rsidR="000742F4" w:rsidRPr="007C7F66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14:paraId="299DB384" w14:textId="6DA3E50E" w:rsidR="000742F4" w:rsidRPr="007C7F66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доплату за наставничество –</w:t>
      </w:r>
      <w:r w:rsidR="00900DBC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9A2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месяц. </w:t>
      </w:r>
    </w:p>
    <w:p w14:paraId="21FCA1E7" w14:textId="23FD73AB" w:rsidR="00AB4A3D" w:rsidRPr="007C7F66" w:rsidRDefault="00F639A2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</w:t>
      </w:r>
      <w:r w:rsidR="00B95091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="009B5A6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B4247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331E39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7C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73DBD150" w14:textId="77777777" w:rsidR="00C03D05" w:rsidRPr="000F63B1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14:paraId="52F9E552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57DF4CFC" w14:textId="77777777" w:rsidR="00AB4A3D" w:rsidRPr="00C85FF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2C99435A" w14:textId="7E3845FD" w:rsidR="0077446F" w:rsidRPr="00A33B12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AD50A4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11100</w:t>
      </w:r>
      <w:r w:rsidR="009A4B1F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974B1D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AD50A4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4959</w:t>
      </w:r>
      <w:r w:rsidR="00C85FFE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9A4B1F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D50A4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44,7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EB9AB71" w14:textId="77777777" w:rsidR="0077446F" w:rsidRPr="00A33B12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03F2B611" w14:textId="77777777" w:rsidR="00A83BE9" w:rsidRPr="00A33B12" w:rsidRDefault="00034CDE" w:rsidP="00855D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855D83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– </w:t>
      </w:r>
      <w:r w:rsidR="0077446F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14:paraId="113F5D81" w14:textId="28745B85" w:rsidR="0077446F" w:rsidRPr="00A33B12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профессиональной ориентации –</w:t>
      </w:r>
      <w:r w:rsidR="00A83BE9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DA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7470</w:t>
      </w:r>
      <w:r w:rsidR="00A83BE9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14:paraId="46F2E199" w14:textId="3EDB0A6D" w:rsidR="0077446F" w:rsidRPr="00A33B12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госуслугу по психологической поддержке – </w:t>
      </w:r>
      <w:r w:rsidR="005B1ADA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768</w:t>
      </w:r>
      <w:r w:rsidR="00034CDE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58C36" w14:textId="32F1DE07" w:rsidR="0077446F" w:rsidRPr="00A33B12" w:rsidRDefault="00FE5B34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</w:t>
      </w:r>
      <w:r w:rsidR="0077446F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профессиональному обучению – </w:t>
      </w:r>
      <w:r w:rsidR="006B31C7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F862AA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7446F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0E775" w14:textId="44A1316D" w:rsidR="0077446F" w:rsidRPr="00A33B12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социальной адаптации –</w:t>
      </w:r>
      <w:r w:rsidR="00A83BE9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DA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759 </w:t>
      </w:r>
      <w:r w:rsidR="00034CDE"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</w:t>
      </w:r>
      <w:r w:rsidRPr="00A3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6DC4673" w14:textId="6794159B" w:rsidR="0077446F" w:rsidRPr="00A33B12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AA67AC"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653</w:t>
      </w:r>
      <w:r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AA67AC"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A3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14:paraId="5B87868A" w14:textId="77777777" w:rsidR="0077446F" w:rsidRPr="00A33B12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14:paraId="79413106" w14:textId="77777777" w:rsidR="0077446F" w:rsidRPr="00A33B12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502ABAA" w14:textId="77777777" w:rsidR="0077446F" w:rsidRPr="00A33B12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62807598" w14:textId="46E6C86E" w:rsidR="0077446F" w:rsidRPr="00A33B12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AD50A4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55D83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C2DA6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21A2006" w14:textId="77777777" w:rsidR="007D4E6C" w:rsidRPr="00A33B12" w:rsidRDefault="007D4E6C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1438 вакансий, предоставленных предприятиями агропромышленного комплекса (2,7% от общего количества вакансий); </w:t>
      </w:r>
    </w:p>
    <w:p w14:paraId="397107A1" w14:textId="6F4B6795" w:rsidR="0077446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9E5A6B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A34EE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488</w:t>
      </w:r>
      <w:r w:rsidR="006E7291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27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2A34EE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7901</w:t>
      </w:r>
      <w:r w:rsidR="004F585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2A34EE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69E0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91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="00246B0F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</w:t>
      </w:r>
      <w:r w:rsidR="006E7291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5F2C45F8" w14:textId="77777777" w:rsidR="00A33B12" w:rsidRDefault="00A33B12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852797" w14:textId="77777777" w:rsidR="00A33B12" w:rsidRPr="00A33B12" w:rsidRDefault="00A33B12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3E88C6" w14:textId="77777777" w:rsidR="0077446F" w:rsidRPr="000B2BFA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1F33D" w14:textId="4B92EF9F" w:rsidR="00C461B5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Занятость лиц, освобожд</w:t>
      </w:r>
      <w:r w:rsidR="00AF00B6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14:paraId="5B81DF91" w14:textId="0B66536D" w:rsidR="005B4C0B" w:rsidRDefault="00AB4A3D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6F9B27C1" w14:textId="77777777" w:rsidR="009E5A6B" w:rsidRPr="009E5A6B" w:rsidRDefault="009E5A6B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3EF9A1BA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службу занятости обратились 84 человека, освобождённых из учреждений, исполняющих наказание в виде лишения свободы, каждый четвёртый трудоустроен.</w:t>
      </w:r>
    </w:p>
    <w:p w14:paraId="09BE32BE" w14:textId="01940440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освобождённых из учреждений, исполняющих наказание в виде лишения свободы, службой занятости начинается ещё до их освобождения. Ведётся переписка с администрациями исправительных учреждений, в которых отбывают наказание граждане, имеющие регистрацию в районах Ленинградской области. По запросам администраций исправительных учреждений специалисты ГКУ ЦЗН ЛО представляют сведения </w:t>
      </w:r>
      <w:r w:rsidR="000F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вакансиях по имеющимся у граждан профессиям либо перечни вакансий, не требующих квалификации, а также информацию о возможности трудоустройства на общественные </w:t>
      </w:r>
      <w:r w:rsidR="000F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временные работы. В учреждения исполнения наказаний направлены </w:t>
      </w:r>
      <w:r w:rsidR="00D614E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29A6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писем.</w:t>
      </w:r>
    </w:p>
    <w:p w14:paraId="60AD5227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из числа освобождённых из учреждений, исполняющих наказание в виде лишения свободы, получили госуслуги:</w:t>
      </w:r>
    </w:p>
    <w:p w14:paraId="743585AB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 62 человека;</w:t>
      </w:r>
    </w:p>
    <w:p w14:paraId="4455F9B7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 20 человек;</w:t>
      </w:r>
    </w:p>
    <w:p w14:paraId="3159C06A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– 19 человек;</w:t>
      </w:r>
    </w:p>
    <w:p w14:paraId="5B3781AA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содействию самозанятости – 9 человек;</w:t>
      </w:r>
    </w:p>
    <w:p w14:paraId="7B764AD2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временного трудоустройства граждан, испытывающих трудности в поиске работы, – 8 человек;</w:t>
      </w:r>
    </w:p>
    <w:p w14:paraId="042141FE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работы трудоустроены 3 человека.</w:t>
      </w:r>
    </w:p>
    <w:p w14:paraId="0AED6FBD" w14:textId="22583F62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Соглашения о сотрудничестве комитета и Управления Федеральной службы исполнения наказания России по Санкт-Петербургу и Ленинградской области по содействию занятости лиц, подлежащих освобождению и освободившихся из учреждений, исполняющих наказание в виде лишения свободы </w:t>
      </w:r>
      <w:r w:rsidR="000F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года:</w:t>
      </w:r>
    </w:p>
    <w:p w14:paraId="51E45D8E" w14:textId="27BCEE2F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</w:t>
      </w:r>
      <w:r w:rsidR="000F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 онлайн-консультаций для осуждённых в исправительных учреждениях УФСИН России по г. Санкт-Петербургу и Ленинградской области. 167 гражданам, подлежащим освобождению, предоставлена информация о состоянии рынка труда, наиболее востребованных профессиях на рынке труда, а также о предоставляемых службой занятости госуслугах;</w:t>
      </w:r>
      <w:proofErr w:type="gramEnd"/>
    </w:p>
    <w:p w14:paraId="40E5FDC2" w14:textId="77777777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гражданин, подлежащие освобождению, завершил обучение по программе «Рабочий зеленого хозяйства», 20 граждан в настоящее время проходят обучение.</w:t>
      </w:r>
    </w:p>
    <w:p w14:paraId="5244C7E7" w14:textId="59601480" w:rsidR="00996F79" w:rsidRPr="00A33B12" w:rsidRDefault="00996F79" w:rsidP="0099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службы занятости провели 12 приёмов в филиалах ФКУ УИИ УФСИН России по г. Санкт-Петербургу и Ленинградской области, расположенных на территории Ленинградской области, 25 гражданам, осуждённым к мерам наказания, не связанным с лишением свободы, предоставлены консультации в сфере занятости.</w:t>
      </w:r>
    </w:p>
    <w:p w14:paraId="214AB6F8" w14:textId="670914DA" w:rsidR="008940AF" w:rsidRDefault="00521CC2" w:rsidP="0089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</w:t>
      </w:r>
      <w:r w:rsidR="00F3250C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B4C0B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</w:t>
      </w:r>
      <w:r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1D00FD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</w:t>
      </w:r>
      <w:r w:rsidR="00B56480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D00FD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</w:t>
      </w:r>
      <w:r w:rsidR="002F01B7" w:rsidRPr="00A3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0A3B2" w14:textId="77777777" w:rsidR="008940AF" w:rsidRPr="000F63B1" w:rsidRDefault="008940AF" w:rsidP="0089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F041C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7717492D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535F28CD" w14:textId="77777777" w:rsidR="009E5D22" w:rsidRPr="00CE021E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408AAA" w14:textId="48DAF263" w:rsidR="005A00AA" w:rsidRPr="000F7968" w:rsidRDefault="00FF4E31" w:rsidP="005A0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 xml:space="preserve"> 2021 года 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>приступили к профессиональному обучению и дополнительному профессиональному образованию (далее – профессиональное обучение) по направлению центра занятости населения 1</w:t>
      </w:r>
      <w:r w:rsidR="006B31C7" w:rsidRPr="000F7968">
        <w:rPr>
          <w:rFonts w:ascii="Times New Roman" w:eastAsia="Calibri" w:hAnsi="Times New Roman" w:cs="Times New Roman"/>
          <w:sz w:val="24"/>
          <w:szCs w:val="24"/>
        </w:rPr>
        <w:t>45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>6 человек, в том числе: 1</w:t>
      </w:r>
      <w:r w:rsidR="006B31C7" w:rsidRPr="000F7968">
        <w:rPr>
          <w:rFonts w:ascii="Times New Roman" w:eastAsia="Calibri" w:hAnsi="Times New Roman" w:cs="Times New Roman"/>
          <w:sz w:val="24"/>
          <w:szCs w:val="24"/>
        </w:rPr>
        <w:t>363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>ина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>; 7</w:t>
      </w:r>
      <w:r w:rsidRPr="000F7968">
        <w:rPr>
          <w:rFonts w:ascii="Times New Roman" w:eastAsia="Calibri" w:hAnsi="Times New Roman" w:cs="Times New Roman"/>
          <w:sz w:val="24"/>
          <w:szCs w:val="24"/>
        </w:rPr>
        <w:t>2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 xml:space="preserve"> женщин</w:t>
      </w:r>
      <w:r w:rsidRPr="000F7968">
        <w:rPr>
          <w:rFonts w:ascii="Times New Roman" w:eastAsia="Calibri" w:hAnsi="Times New Roman" w:cs="Times New Roman"/>
          <w:sz w:val="24"/>
          <w:szCs w:val="24"/>
        </w:rPr>
        <w:t>ы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 xml:space="preserve">в период отпуска по уходу за ребенком до 3-х лет; </w:t>
      </w:r>
      <w:r w:rsidR="000F7968" w:rsidRPr="000F7968">
        <w:rPr>
          <w:rFonts w:ascii="Times New Roman" w:eastAsia="Calibri" w:hAnsi="Times New Roman" w:cs="Times New Roman"/>
          <w:sz w:val="24"/>
          <w:szCs w:val="24"/>
        </w:rPr>
        <w:t xml:space="preserve">20 незанятых пенсионеров, стремящихся возобновить трудовую деятельность; 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 xml:space="preserve">1 незанятый инвалид, обратившийся в службу занятости </w:t>
      </w:r>
      <w:r w:rsidR="000F796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5A00AA" w:rsidRPr="000F7968">
        <w:rPr>
          <w:rFonts w:ascii="Times New Roman" w:eastAsia="Calibri" w:hAnsi="Times New Roman" w:cs="Times New Roman"/>
          <w:sz w:val="24"/>
          <w:szCs w:val="24"/>
        </w:rPr>
        <w:t>за содействием в поиске подходящей работы.</w:t>
      </w:r>
    </w:p>
    <w:p w14:paraId="001454B5" w14:textId="23605670" w:rsidR="005A00AA" w:rsidRPr="000F7968" w:rsidRDefault="005A00AA" w:rsidP="005A0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На обучение по рабочим профессиям направлено </w:t>
      </w:r>
      <w:r w:rsidR="000F7968">
        <w:rPr>
          <w:rFonts w:ascii="Times New Roman" w:eastAsia="Calibri" w:hAnsi="Times New Roman" w:cs="Times New Roman"/>
          <w:sz w:val="24"/>
          <w:szCs w:val="24"/>
        </w:rPr>
        <w:t>46,4</w:t>
      </w:r>
      <w:r w:rsidRPr="000F7968">
        <w:rPr>
          <w:rFonts w:ascii="Times New Roman" w:eastAsia="Calibri" w:hAnsi="Times New Roman" w:cs="Times New Roman"/>
          <w:sz w:val="24"/>
          <w:szCs w:val="24"/>
        </w:rPr>
        <w:t>% безработных граждан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>ина</w:t>
      </w:r>
      <w:r w:rsidRPr="000F79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08FD5" w14:textId="12919F0D" w:rsidR="00FE5B34" w:rsidRPr="000F7968" w:rsidRDefault="005A00AA" w:rsidP="005A0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граждан в общей сложности осуществлялось по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>62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программам </w:t>
      </w:r>
      <w:proofErr w:type="gramStart"/>
      <w:r w:rsidRPr="000F7968">
        <w:rPr>
          <w:rFonts w:ascii="Times New Roman" w:eastAsia="Calibri" w:hAnsi="Times New Roman" w:cs="Times New Roman"/>
          <w:sz w:val="24"/>
          <w:szCs w:val="24"/>
        </w:rPr>
        <w:t>обучения по профессиям</w:t>
      </w:r>
      <w:proofErr w:type="gram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и компетенциям, востребованным работодателями, в том числе: «Основы создания сайта с элементами </w:t>
      </w:r>
      <w:proofErr w:type="gramStart"/>
      <w:r w:rsidRPr="000F7968">
        <w:rPr>
          <w:rFonts w:ascii="Times New Roman" w:eastAsia="Calibri" w:hAnsi="Times New Roman" w:cs="Times New Roman"/>
          <w:sz w:val="24"/>
          <w:szCs w:val="24"/>
        </w:rPr>
        <w:t>интернет-маркетинга</w:t>
      </w:r>
      <w:proofErr w:type="gram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 xml:space="preserve">«Складской учет на ПК»,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«Водитель </w:t>
      </w:r>
      <w:r w:rsidRPr="000F7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погрузчика», «Водитель автотранспортных средств», «Электромонтер по ремонту </w:t>
      </w:r>
      <w:r w:rsidR="000F79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и обслуживанию электрооборудования», «Сварщик»,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 xml:space="preserve">«Делопроизводство на ПК», </w:t>
      </w:r>
      <w:r w:rsidRPr="000F7968">
        <w:rPr>
          <w:rFonts w:ascii="Times New Roman" w:eastAsia="Calibri" w:hAnsi="Times New Roman" w:cs="Times New Roman"/>
          <w:sz w:val="24"/>
          <w:szCs w:val="24"/>
        </w:rPr>
        <w:t>«Data-аналитик», «Project Manager в IT» и другие. При необходимости в основную программу обучения включаются обучающие модули по освоению сквозных компетенций, актуальных на современных предприятиях, например: «Бережливое производство», «Тайм-менеджмент», «</w:t>
      </w:r>
      <w:proofErr w:type="spellStart"/>
      <w:r w:rsidRPr="000F7968">
        <w:rPr>
          <w:rFonts w:ascii="Times New Roman" w:eastAsia="Calibri" w:hAnsi="Times New Roman" w:cs="Times New Roman"/>
          <w:sz w:val="24"/>
          <w:szCs w:val="24"/>
        </w:rPr>
        <w:t>Vizion</w:t>
      </w:r>
      <w:proofErr w:type="spell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7968">
        <w:rPr>
          <w:rFonts w:ascii="Times New Roman" w:eastAsia="Calibri" w:hAnsi="Times New Roman" w:cs="Times New Roman"/>
          <w:sz w:val="24"/>
          <w:szCs w:val="24"/>
        </w:rPr>
        <w:t>Zero</w:t>
      </w:r>
      <w:proofErr w:type="spellEnd"/>
      <w:r w:rsidRPr="000F7968">
        <w:rPr>
          <w:rFonts w:ascii="Times New Roman" w:eastAsia="Calibri" w:hAnsi="Times New Roman" w:cs="Times New Roman"/>
          <w:sz w:val="24"/>
          <w:szCs w:val="24"/>
        </w:rPr>
        <w:t>», «Редактура и копирайтинг», «Event-менеджмент», программы использования информационных технологий в профессиональной деятельности и другие.</w:t>
      </w:r>
    </w:p>
    <w:p w14:paraId="3726014C" w14:textId="778F7C74" w:rsidR="00843996" w:rsidRPr="000F7968" w:rsidRDefault="00843996" w:rsidP="00FE5B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по опережающему обучению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7968">
        <w:rPr>
          <w:rFonts w:ascii="Times New Roman" w:eastAsia="Calibri" w:hAnsi="Times New Roman" w:cs="Times New Roman"/>
          <w:sz w:val="24"/>
          <w:szCs w:val="24"/>
        </w:rPr>
        <w:t>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импортозамещение приступил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>о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к обучению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>549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  <w:r w:rsidR="000F796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>11</w:t>
      </w:r>
      <w:r w:rsidR="008940AF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968">
        <w:rPr>
          <w:rFonts w:ascii="Times New Roman" w:eastAsia="Calibri" w:hAnsi="Times New Roman" w:cs="Times New Roman"/>
          <w:sz w:val="24"/>
          <w:szCs w:val="24"/>
        </w:rPr>
        <w:t>предприятий, завершили</w:t>
      </w:r>
      <w:proofErr w:type="gram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4E31" w:rsidRPr="000F7968">
        <w:rPr>
          <w:rFonts w:ascii="Times New Roman" w:eastAsia="Calibri" w:hAnsi="Times New Roman" w:cs="Times New Roman"/>
          <w:sz w:val="24"/>
          <w:szCs w:val="24"/>
        </w:rPr>
        <w:t>495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737843B1" w14:textId="77777777" w:rsidR="005802DE" w:rsidRPr="000F63B1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67C9C8AC" w14:textId="77777777" w:rsidR="00AB4A3D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14:paraId="2F67E3F6" w14:textId="77777777" w:rsidR="00771D7A" w:rsidRPr="000F63B1" w:rsidRDefault="00771D7A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3A6966C" w14:textId="737576ED" w:rsidR="00AB4A3D" w:rsidRPr="000F7968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C13D90" w:rsidRPr="000F7968">
        <w:rPr>
          <w:rFonts w:ascii="Times New Roman" w:eastAsia="Calibri" w:hAnsi="Times New Roman" w:cs="Times New Roman"/>
          <w:sz w:val="24"/>
          <w:szCs w:val="24"/>
        </w:rPr>
        <w:t>202</w:t>
      </w:r>
      <w:r w:rsidR="008D65FA" w:rsidRPr="000F7968">
        <w:rPr>
          <w:rFonts w:ascii="Times New Roman" w:eastAsia="Calibri" w:hAnsi="Times New Roman" w:cs="Times New Roman"/>
          <w:sz w:val="24"/>
          <w:szCs w:val="24"/>
        </w:rPr>
        <w:t>1</w:t>
      </w:r>
      <w:r w:rsidR="00C13D90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0F7968">
        <w:rPr>
          <w:rFonts w:ascii="Times New Roman" w:eastAsia="Calibri" w:hAnsi="Times New Roman" w:cs="Times New Roman"/>
          <w:sz w:val="24"/>
          <w:szCs w:val="24"/>
        </w:rPr>
        <w:t>года г</w:t>
      </w:r>
      <w:r w:rsidR="004D5907" w:rsidRPr="000F7968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0F7968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23838</w:t>
      </w:r>
      <w:r w:rsidR="00756E81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0F7968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0F7968">
        <w:rPr>
          <w:rFonts w:ascii="Times New Roman" w:eastAsia="Calibri" w:hAnsi="Times New Roman" w:cs="Times New Roman"/>
          <w:sz w:val="24"/>
          <w:szCs w:val="24"/>
        </w:rPr>
        <w:t>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0F7968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0F7968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14:paraId="08E5A8A5" w14:textId="77777777" w:rsidR="00AB4A3D" w:rsidRPr="000F7968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0F7968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0F7968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0F7968">
        <w:rPr>
          <w:rFonts w:ascii="Times New Roman" w:eastAsia="Calibri" w:hAnsi="Times New Roman" w:cs="Times New Roman"/>
          <w:sz w:val="24"/>
          <w:szCs w:val="24"/>
        </w:rPr>
        <w:t>услуг:</w:t>
      </w:r>
    </w:p>
    <w:p w14:paraId="20F74B4A" w14:textId="77777777" w:rsidR="00370C62" w:rsidRPr="000F7968" w:rsidRDefault="00A47BC4" w:rsidP="00370C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ab/>
      </w:r>
      <w:r w:rsidR="00370C62" w:rsidRPr="000F7968">
        <w:rPr>
          <w:rFonts w:ascii="Times New Roman" w:eastAsia="Calibri" w:hAnsi="Times New Roman" w:cs="Times New Roman"/>
          <w:sz w:val="24"/>
          <w:szCs w:val="24"/>
        </w:rPr>
        <w:t>граждане в возрасте 14-29 лет – 14645 профориентационных услуг;</w:t>
      </w:r>
    </w:p>
    <w:p w14:paraId="6D837BA2" w14:textId="60E8317C" w:rsidR="008B3117" w:rsidRPr="000F7968" w:rsidRDefault="004D5907" w:rsidP="0037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0F7968">
        <w:rPr>
          <w:rFonts w:ascii="Times New Roman" w:eastAsia="Calibri" w:hAnsi="Times New Roman" w:cs="Times New Roman"/>
          <w:sz w:val="24"/>
          <w:szCs w:val="24"/>
        </w:rPr>
        <w:t>–</w:t>
      </w:r>
      <w:r w:rsidR="006F005A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6218</w:t>
      </w:r>
      <w:r w:rsidR="00756E81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1EFA" w:rsidRPr="000F7968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0F7968">
        <w:rPr>
          <w:rFonts w:ascii="Times New Roman" w:eastAsia="Calibri" w:hAnsi="Times New Roman" w:cs="Times New Roman"/>
          <w:sz w:val="24"/>
          <w:szCs w:val="24"/>
        </w:rPr>
        <w:t>услуг;</w:t>
      </w:r>
      <w:r w:rsidR="008D65FA" w:rsidRPr="000F79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526511E2" w14:textId="2DBBAAE0" w:rsidR="008B3117" w:rsidRPr="000F7968" w:rsidRDefault="00456A8B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граждане, стремящиеся возобновить трудовую деятельность после длительного (более года) перерыва –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1661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ая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а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>;</w:t>
      </w:r>
      <w:r w:rsidR="008D65FA" w:rsidRPr="000F796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0A6BFF65" w14:textId="0254AB86" w:rsidR="008B3117" w:rsidRPr="000F7968" w:rsidRDefault="00456A8B" w:rsidP="008B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граждане предпенсионного возраста –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1224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профориентационных услуг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и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317591" w14:textId="37570321" w:rsidR="00AB4A3D" w:rsidRPr="000F7968" w:rsidRDefault="00456A8B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к категории инвалидов –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1053 </w:t>
      </w:r>
      <w:r w:rsidR="008B3117" w:rsidRPr="000F7968">
        <w:rPr>
          <w:rFonts w:ascii="Times New Roman" w:eastAsia="Calibri" w:hAnsi="Times New Roman" w:cs="Times New Roman"/>
          <w:sz w:val="24"/>
          <w:szCs w:val="24"/>
        </w:rPr>
        <w:t>профориентационные услуги;</w:t>
      </w:r>
      <w:r w:rsidR="008D65FA" w:rsidRPr="000F79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83E80" w14:textId="58321B63" w:rsidR="00AB4A3D" w:rsidRPr="000F7968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0F7968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0F7968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765 </w:t>
      </w:r>
      <w:r w:rsidR="0034772D" w:rsidRPr="000F7968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091EFA" w:rsidRPr="000F7968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0F7968">
        <w:rPr>
          <w:rFonts w:ascii="Times New Roman" w:eastAsia="Calibri" w:hAnsi="Times New Roman" w:cs="Times New Roman"/>
          <w:sz w:val="24"/>
          <w:szCs w:val="24"/>
        </w:rPr>
        <w:t>у</w:t>
      </w:r>
      <w:r w:rsidR="008940AF" w:rsidRPr="000F7968">
        <w:rPr>
          <w:rFonts w:ascii="Times New Roman" w:eastAsia="Calibri" w:hAnsi="Times New Roman" w:cs="Times New Roman"/>
          <w:sz w:val="24"/>
          <w:szCs w:val="24"/>
        </w:rPr>
        <w:t>слуг.</w:t>
      </w:r>
    </w:p>
    <w:p w14:paraId="60029408" w14:textId="02846418" w:rsidR="008B3117" w:rsidRPr="000F7968" w:rsidRDefault="008B3117" w:rsidP="008B3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Воспитанникам ресурсных центров (детских домов) и школ-интернатов оказаны                      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116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профориентационных услуг.</w:t>
      </w:r>
    </w:p>
    <w:p w14:paraId="5DF5E772" w14:textId="47593FA4" w:rsidR="004C43A5" w:rsidRPr="000F7968" w:rsidRDefault="004C43A5" w:rsidP="004C43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оказано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8236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профориентационных услуг </w:t>
      </w:r>
      <w:r w:rsidR="00CE021E" w:rsidRPr="000F796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Pr="000F7968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«Профстандарт» (далее – Центр «Профстандарт»). </w:t>
      </w:r>
    </w:p>
    <w:p w14:paraId="55D89A8C" w14:textId="3271DAEB" w:rsidR="00510FEA" w:rsidRPr="000F7968" w:rsidRDefault="00510FEA" w:rsidP="004C43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В июне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– августе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2021 года школьникам-участникам летних трудовых бригад, оказано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3398 услуг</w:t>
      </w:r>
      <w:r w:rsidR="00456A8B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968">
        <w:rPr>
          <w:rFonts w:ascii="Times New Roman" w:eastAsia="Calibri" w:hAnsi="Times New Roman" w:cs="Times New Roman"/>
          <w:sz w:val="24"/>
          <w:szCs w:val="24"/>
        </w:rPr>
        <w:t>по профориентации.</w:t>
      </w:r>
    </w:p>
    <w:p w14:paraId="3DBCF9E0" w14:textId="682F12F5" w:rsidR="006434E0" w:rsidRPr="000F7968" w:rsidRDefault="002811C4" w:rsidP="00643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В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 xml:space="preserve"> рамках заключенных</w:t>
      </w:r>
      <w:r w:rsidR="00993804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>соглашений с работодателями</w:t>
      </w:r>
      <w:r w:rsidR="0034772D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719" w:rsidRPr="000F7968">
        <w:rPr>
          <w:rFonts w:ascii="Times New Roman" w:eastAsia="Calibri" w:hAnsi="Times New Roman" w:cs="Times New Roman"/>
          <w:sz w:val="24"/>
          <w:szCs w:val="24"/>
        </w:rPr>
        <w:t>об оказании услуг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C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>по профессиональной диагностике кандидатов на вакант</w:t>
      </w:r>
      <w:r w:rsidR="0034772D" w:rsidRPr="000F7968">
        <w:rPr>
          <w:rFonts w:ascii="Times New Roman" w:eastAsia="Calibri" w:hAnsi="Times New Roman" w:cs="Times New Roman"/>
          <w:sz w:val="24"/>
          <w:szCs w:val="24"/>
        </w:rPr>
        <w:t>ные рабочие места протестирован</w:t>
      </w:r>
      <w:r w:rsidR="00993804" w:rsidRPr="000F796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70C6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C4CDF" w:rsidRPr="000F7968">
        <w:rPr>
          <w:rFonts w:ascii="Times New Roman" w:eastAsia="Calibri" w:hAnsi="Times New Roman" w:cs="Times New Roman"/>
          <w:sz w:val="24"/>
          <w:szCs w:val="24"/>
        </w:rPr>
        <w:t>3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 xml:space="preserve"> соискател</w:t>
      </w:r>
      <w:r w:rsidR="00993804" w:rsidRPr="000F7968">
        <w:rPr>
          <w:rFonts w:ascii="Times New Roman" w:eastAsia="Calibri" w:hAnsi="Times New Roman" w:cs="Times New Roman"/>
          <w:sz w:val="24"/>
          <w:szCs w:val="24"/>
        </w:rPr>
        <w:t>я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>, из них трудоустроен</w:t>
      </w:r>
      <w:r w:rsidR="00A01719" w:rsidRPr="000F7968">
        <w:rPr>
          <w:rFonts w:ascii="Times New Roman" w:eastAsia="Calibri" w:hAnsi="Times New Roman" w:cs="Times New Roman"/>
          <w:sz w:val="24"/>
          <w:szCs w:val="24"/>
        </w:rPr>
        <w:t>о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993804" w:rsidRPr="000F7968">
        <w:rPr>
          <w:rFonts w:ascii="Times New Roman" w:eastAsia="Calibri" w:hAnsi="Times New Roman" w:cs="Times New Roman"/>
          <w:sz w:val="24"/>
          <w:szCs w:val="24"/>
        </w:rPr>
        <w:t>2</w:t>
      </w:r>
      <w:r w:rsidR="00A47BC4" w:rsidRPr="000F796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93804" w:rsidRPr="000F7968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0F79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F4725A" w14:textId="5A868B71" w:rsidR="005E1BE5" w:rsidRPr="000F7968" w:rsidRDefault="002811C4" w:rsidP="00456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Для</w:t>
      </w:r>
      <w:r w:rsidR="005E1BE5" w:rsidRPr="000F7968">
        <w:rPr>
          <w:rFonts w:ascii="Times New Roman" w:eastAsia="Calibri" w:hAnsi="Times New Roman" w:cs="Times New Roman"/>
          <w:sz w:val="24"/>
          <w:szCs w:val="24"/>
        </w:rPr>
        <w:t xml:space="preserve"> 7 обучающихся образовательных организаций при содействии ГКУ ЦЗН ЛО проведена 1 экскурсия на предприятие в Волховском районе Ленинградской области.</w:t>
      </w:r>
    </w:p>
    <w:p w14:paraId="396B0232" w14:textId="2DDA8F43" w:rsidR="008513E3" w:rsidRPr="000F7968" w:rsidRDefault="00F105F2" w:rsidP="00851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Ежегодно к</w:t>
      </w:r>
      <w:r w:rsidR="008513E3" w:rsidRPr="000F7968">
        <w:rPr>
          <w:rFonts w:ascii="Times New Roman" w:eastAsia="Calibri" w:hAnsi="Times New Roman" w:cs="Times New Roman"/>
          <w:sz w:val="24"/>
          <w:szCs w:val="24"/>
        </w:rPr>
        <w:t>аждую 3 неделю апреля и октября органами службы занятости населения организуется акция «Неделя без турникетов» федерального проекта «Работай в России!». Принцип проведения акции: предприятия и организации региона на неделю открывают свои двери для экскурсий школьников и студентов, а также их педагогов и родителей, безработных граждан. Это возможность для участников мероприятия «изнутри» увидеть работу предприятий, на которых они могут в будущем работать, познакомиться с трудовыми коллективами и их традициями.</w:t>
      </w:r>
    </w:p>
    <w:p w14:paraId="494F94C8" w14:textId="35F263DE" w:rsidR="008513E3" w:rsidRPr="000F7968" w:rsidRDefault="008513E3" w:rsidP="00851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В апреле 2021 года в рамках акции для 5019 школьников организованы экскурсии (в очном формате 87 экскурсий и дистанционном формате 27 экскурсий) на 88 предприятий и организаций региона.</w:t>
      </w:r>
    </w:p>
    <w:p w14:paraId="115CD741" w14:textId="7A0CADFF" w:rsidR="00F105F2" w:rsidRPr="000F7968" w:rsidRDefault="00F105F2" w:rsidP="0045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>555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выпускников организаций среднего и высшего профессионального образования, расположенных в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11 муниципальных районах Ленинградской области 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F7968">
        <w:rPr>
          <w:rFonts w:ascii="Times New Roman" w:eastAsia="Calibri" w:hAnsi="Times New Roman" w:cs="Times New Roman"/>
          <w:sz w:val="24"/>
          <w:szCs w:val="24"/>
        </w:rPr>
        <w:t>ЛГУ</w:t>
      </w:r>
      <w:r w:rsidR="002811C4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968">
        <w:rPr>
          <w:rFonts w:ascii="Times New Roman" w:eastAsia="Calibri" w:hAnsi="Times New Roman" w:cs="Times New Roman"/>
          <w:sz w:val="24"/>
          <w:szCs w:val="24"/>
        </w:rPr>
        <w:t>им</w:t>
      </w:r>
      <w:r w:rsidR="00456A8B" w:rsidRPr="000F7968">
        <w:rPr>
          <w:rFonts w:ascii="Times New Roman" w:eastAsia="Calibri" w:hAnsi="Times New Roman" w:cs="Times New Roman"/>
          <w:sz w:val="24"/>
          <w:szCs w:val="24"/>
        </w:rPr>
        <w:t>.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А.С. Пушкина проведено мероприятие «Старт в карьеру». </w:t>
      </w:r>
    </w:p>
    <w:p w14:paraId="31BA9D06" w14:textId="77777777" w:rsidR="00F105F2" w:rsidRPr="000F7968" w:rsidRDefault="00F105F2" w:rsidP="0045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Цель мероприятия – познакомить выпускников региона с услугами Центра занятости населения Ленинградской области для молодежи для успешного трудоустройства по окончании обучения.</w:t>
      </w:r>
    </w:p>
    <w:p w14:paraId="537BFBFB" w14:textId="77777777" w:rsidR="002811C4" w:rsidRPr="000F7968" w:rsidRDefault="00F105F2" w:rsidP="0045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Во время проведения мероприятия его участники знакомятся с рынком труда региона, новыми инвестиционными проектами, учатся формировать «Портфолио специалиста», написать резюме и успешно пройти собеседование у работодателя. По итогам мероприятия студенты заполняют анкету для включения в кадровый резерв Ленинградской области.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92D4AE" w14:textId="1C2F7D12" w:rsidR="008940AF" w:rsidRPr="000F7968" w:rsidRDefault="002811C4" w:rsidP="0045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sz w:val="24"/>
          <w:szCs w:val="24"/>
        </w:rPr>
        <w:t>П</w:t>
      </w:r>
      <w:r w:rsidR="00211EE3" w:rsidRPr="000F7968">
        <w:rPr>
          <w:rFonts w:ascii="Times New Roman" w:eastAsia="Calibri" w:hAnsi="Times New Roman" w:cs="Times New Roman"/>
          <w:sz w:val="24"/>
          <w:szCs w:val="24"/>
        </w:rPr>
        <w:t xml:space="preserve">родолжена реализация проекта «Наставник 47 – Перезагрузка», который был </w:t>
      </w:r>
      <w:r w:rsidR="008940AF" w:rsidRPr="000F7968">
        <w:rPr>
          <w:rFonts w:ascii="Times New Roman" w:eastAsia="Calibri" w:hAnsi="Times New Roman" w:cs="Times New Roman"/>
          <w:sz w:val="24"/>
          <w:szCs w:val="24"/>
        </w:rPr>
        <w:t xml:space="preserve">переориентирован </w:t>
      </w:r>
      <w:r w:rsidR="00211EE3" w:rsidRPr="000F7968">
        <w:rPr>
          <w:rFonts w:ascii="Times New Roman" w:eastAsia="Calibri" w:hAnsi="Times New Roman" w:cs="Times New Roman"/>
          <w:sz w:val="24"/>
          <w:szCs w:val="24"/>
        </w:rPr>
        <w:t xml:space="preserve">на муниципальные районы Ленинградской области. По итогам отчетного периода 2021 года 18 руководителей выразили желание стать наставниками для талантливой молодежи Ленинградской области, из них </w:t>
      </w:r>
      <w:r w:rsidR="00F53B7B" w:rsidRPr="000F7968">
        <w:rPr>
          <w:rFonts w:ascii="Times New Roman" w:eastAsia="Calibri" w:hAnsi="Times New Roman" w:cs="Times New Roman"/>
          <w:sz w:val="24"/>
          <w:szCs w:val="24"/>
        </w:rPr>
        <w:t>7</w:t>
      </w:r>
      <w:r w:rsidR="00771D7A" w:rsidRPr="000F7968">
        <w:rPr>
          <w:rFonts w:ascii="Times New Roman" w:eastAsia="Calibri" w:hAnsi="Times New Roman" w:cs="Times New Roman"/>
          <w:sz w:val="24"/>
          <w:szCs w:val="24"/>
        </w:rPr>
        <w:t xml:space="preserve"> уже провели встречи </w:t>
      </w:r>
      <w:r w:rsidR="00211EE3" w:rsidRPr="000F796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53B7B" w:rsidRPr="000F7968">
        <w:rPr>
          <w:rFonts w:ascii="Times New Roman" w:eastAsia="Calibri" w:hAnsi="Times New Roman" w:cs="Times New Roman"/>
          <w:sz w:val="24"/>
          <w:szCs w:val="24"/>
        </w:rPr>
        <w:t>30</w:t>
      </w:r>
      <w:r w:rsidR="00211EE3" w:rsidRPr="000F7968">
        <w:rPr>
          <w:rFonts w:ascii="Times New Roman" w:eastAsia="Calibri" w:hAnsi="Times New Roman" w:cs="Times New Roman"/>
          <w:sz w:val="24"/>
          <w:szCs w:val="24"/>
        </w:rPr>
        <w:t xml:space="preserve"> наставляемыми. Началась работа по разработке социальных проектов. </w:t>
      </w:r>
    </w:p>
    <w:p w14:paraId="15292B01" w14:textId="5290D6FB" w:rsidR="009568D1" w:rsidRPr="000F7968" w:rsidRDefault="009568D1" w:rsidP="009568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68">
        <w:rPr>
          <w:rFonts w:ascii="Times New Roman" w:eastAsia="Calibri" w:hAnsi="Times New Roman" w:cs="Times New Roman"/>
          <w:bCs/>
          <w:sz w:val="24"/>
          <w:szCs w:val="24"/>
        </w:rPr>
        <w:t xml:space="preserve">С сентября 2021 года гражданам региона предлагается новая услуга – карьерное консультирование. 5 профконсультантов из </w:t>
      </w:r>
      <w:proofErr w:type="spellStart"/>
      <w:r w:rsidRPr="000F7968">
        <w:rPr>
          <w:rFonts w:ascii="Times New Roman" w:eastAsia="Calibri" w:hAnsi="Times New Roman" w:cs="Times New Roman"/>
          <w:bCs/>
          <w:sz w:val="24"/>
          <w:szCs w:val="24"/>
        </w:rPr>
        <w:t>Бокситогорского</w:t>
      </w:r>
      <w:proofErr w:type="spellEnd"/>
      <w:r w:rsidRPr="000F796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F7968">
        <w:rPr>
          <w:rFonts w:ascii="Times New Roman" w:eastAsia="Calibri" w:hAnsi="Times New Roman" w:cs="Times New Roman"/>
          <w:bCs/>
          <w:sz w:val="24"/>
          <w:szCs w:val="24"/>
        </w:rPr>
        <w:t>Волосовского</w:t>
      </w:r>
      <w:proofErr w:type="spellEnd"/>
      <w:r w:rsidRPr="000F796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F7968">
        <w:rPr>
          <w:rFonts w:ascii="Times New Roman" w:eastAsia="Calibri" w:hAnsi="Times New Roman" w:cs="Times New Roman"/>
          <w:bCs/>
          <w:sz w:val="24"/>
          <w:szCs w:val="24"/>
        </w:rPr>
        <w:t>Выборгскорго</w:t>
      </w:r>
      <w:proofErr w:type="spellEnd"/>
      <w:r w:rsidRPr="000F7968">
        <w:rPr>
          <w:rFonts w:ascii="Times New Roman" w:eastAsia="Calibri" w:hAnsi="Times New Roman" w:cs="Times New Roman"/>
          <w:bCs/>
          <w:sz w:val="24"/>
          <w:szCs w:val="24"/>
        </w:rPr>
        <w:t xml:space="preserve"> и Гатчинского </w:t>
      </w:r>
      <w:r w:rsidRPr="000F7968">
        <w:rPr>
          <w:rFonts w:ascii="Times New Roman" w:eastAsia="Calibri" w:hAnsi="Times New Roman" w:cs="Times New Roman"/>
          <w:sz w:val="24"/>
          <w:szCs w:val="24"/>
        </w:rPr>
        <w:t>районов стали к</w:t>
      </w:r>
      <w:r w:rsidRPr="000F7968">
        <w:rPr>
          <w:rFonts w:ascii="Times New Roman" w:eastAsia="Calibri" w:hAnsi="Times New Roman" w:cs="Times New Roman"/>
          <w:bCs/>
          <w:sz w:val="24"/>
          <w:szCs w:val="24"/>
        </w:rPr>
        <w:t xml:space="preserve">арьерными консультантами. </w:t>
      </w:r>
      <w:r w:rsidRPr="000F7968">
        <w:rPr>
          <w:rFonts w:ascii="Times New Roman" w:eastAsia="Calibri" w:hAnsi="Times New Roman" w:cs="Times New Roman"/>
          <w:sz w:val="24"/>
          <w:szCs w:val="24"/>
        </w:rPr>
        <w:t>Карьерный консультант помогает человеку решить вопросы по до</w:t>
      </w:r>
      <w:r w:rsidR="00DB55AC" w:rsidRPr="000F7968">
        <w:rPr>
          <w:rFonts w:ascii="Times New Roman" w:eastAsia="Calibri" w:hAnsi="Times New Roman" w:cs="Times New Roman"/>
          <w:sz w:val="24"/>
          <w:szCs w:val="24"/>
        </w:rPr>
        <w:t>сти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жению карьерных целей от выбора профессионального пути, поиска работы, переквалификации до формирования плана </w:t>
      </w:r>
      <w:proofErr w:type="spellStart"/>
      <w:r w:rsidRPr="000F7968">
        <w:rPr>
          <w:rFonts w:ascii="Times New Roman" w:eastAsia="Calibri" w:hAnsi="Times New Roman" w:cs="Times New Roman"/>
          <w:sz w:val="24"/>
          <w:szCs w:val="24"/>
        </w:rPr>
        <w:t>карьерногой</w:t>
      </w:r>
      <w:proofErr w:type="spellEnd"/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 роста. Данная услуга оказывается любому гражданину вне зависимости от места проживания</w:t>
      </w:r>
      <w:r w:rsidR="00DB55AC" w:rsidRPr="000F7968">
        <w:rPr>
          <w:rFonts w:ascii="Times New Roman" w:eastAsia="Calibri" w:hAnsi="Times New Roman" w:cs="Times New Roman"/>
          <w:sz w:val="24"/>
          <w:szCs w:val="24"/>
        </w:rPr>
        <w:t xml:space="preserve"> онлайн</w:t>
      </w:r>
      <w:r w:rsidRPr="000F79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6D6B43A" w14:textId="78D85203" w:rsidR="00BD6742" w:rsidRPr="000F63B1" w:rsidRDefault="00BD6742" w:rsidP="00BD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Психологическая поддержка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безработных граждан </w:t>
      </w:r>
    </w:p>
    <w:p w14:paraId="64DDCD70" w14:textId="77777777" w:rsidR="002811C4" w:rsidRPr="00456A8B" w:rsidRDefault="002811C4" w:rsidP="0045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5AA7A" w14:textId="2346D26C" w:rsidR="00AB4A3D" w:rsidRPr="00370C62" w:rsidRDefault="00AB4A3D" w:rsidP="00456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Calibri" w:hAnsi="Times New Roman" w:cs="Times New Roman"/>
          <w:sz w:val="24"/>
          <w:szCs w:val="24"/>
        </w:rPr>
        <w:t>Безраб</w:t>
      </w:r>
      <w:r w:rsidR="004D5907" w:rsidRPr="00370C62">
        <w:rPr>
          <w:rFonts w:ascii="Times New Roman" w:eastAsia="Calibri" w:hAnsi="Times New Roman" w:cs="Times New Roman"/>
          <w:sz w:val="24"/>
          <w:szCs w:val="24"/>
        </w:rPr>
        <w:t>отным гражданам оказан</w:t>
      </w:r>
      <w:r w:rsidR="00A01719" w:rsidRPr="00370C6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811C4" w:rsidRPr="00370C62">
        <w:rPr>
          <w:rFonts w:ascii="Times New Roman" w:eastAsia="Calibri" w:hAnsi="Times New Roman" w:cs="Times New Roman"/>
          <w:sz w:val="24"/>
          <w:szCs w:val="24"/>
        </w:rPr>
        <w:t>2827</w:t>
      </w:r>
      <w:r w:rsidR="00756E81" w:rsidRPr="00370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370C62">
        <w:rPr>
          <w:rFonts w:ascii="Times New Roman" w:eastAsia="Calibri" w:hAnsi="Times New Roman" w:cs="Times New Roman"/>
          <w:sz w:val="24"/>
          <w:szCs w:val="24"/>
        </w:rPr>
        <w:t>гос</w:t>
      </w:r>
      <w:r w:rsidRPr="00370C62">
        <w:rPr>
          <w:rFonts w:ascii="Times New Roman" w:eastAsia="Calibri" w:hAnsi="Times New Roman" w:cs="Times New Roman"/>
          <w:sz w:val="24"/>
          <w:szCs w:val="24"/>
        </w:rPr>
        <w:t xml:space="preserve">услуг по психологической поддержке, </w:t>
      </w:r>
      <w:r w:rsidR="00C57C2B" w:rsidRPr="00370C62">
        <w:rPr>
          <w:rFonts w:ascii="Times New Roman" w:eastAsia="Calibri" w:hAnsi="Times New Roman" w:cs="Times New Roman"/>
          <w:sz w:val="24"/>
          <w:szCs w:val="24"/>
        </w:rPr>
        <w:t>которая направлена на активизацию</w:t>
      </w:r>
      <w:r w:rsidRPr="00370C62">
        <w:rPr>
          <w:rFonts w:ascii="Times New Roman" w:eastAsia="Calibri" w:hAnsi="Times New Roman" w:cs="Times New Roman"/>
          <w:sz w:val="24"/>
          <w:szCs w:val="24"/>
        </w:rPr>
        <w:t xml:space="preserve"> позиции </w:t>
      </w:r>
      <w:r w:rsidR="000403E8" w:rsidRPr="00370C62">
        <w:rPr>
          <w:rFonts w:ascii="Times New Roman" w:eastAsia="Calibri" w:hAnsi="Times New Roman" w:cs="Times New Roman"/>
          <w:sz w:val="24"/>
          <w:szCs w:val="24"/>
        </w:rPr>
        <w:t>безработных граждан по поиску работы</w:t>
      </w:r>
      <w:r w:rsidR="000403E8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</w:t>
      </w:r>
      <w:r w:rsidR="004A2A65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14:paraId="673A09C5" w14:textId="77777777" w:rsidR="00AB4A3D" w:rsidRPr="00370C62" w:rsidRDefault="00AB4A3D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госуслугу</w:t>
      </w:r>
      <w:r w:rsidR="004A2A65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95C9B8" w14:textId="620FBC77" w:rsidR="00AB4A3D" w:rsidRPr="00370C62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A01719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E81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C4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="0034772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45A3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687B0C" w14:textId="6698F98A" w:rsidR="00DF4D02" w:rsidRPr="00370C62" w:rsidRDefault="00DF4D02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граждане, стремящиеся возобновить трудовую деятельность после длительного (более года) перерыва –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госуслуг;</w:t>
      </w:r>
    </w:p>
    <w:p w14:paraId="74456814" w14:textId="07A107FD" w:rsidR="00C57C2B" w:rsidRPr="000F63B1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756E81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DF4D0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79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25B6B69C" w14:textId="77777777" w:rsidR="007E32C4" w:rsidRPr="000F63B1" w:rsidRDefault="007E32C4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57070" w14:textId="4BA00CD2" w:rsidR="00AB4A3D" w:rsidRPr="000F63B1" w:rsidRDefault="00AB4A3D" w:rsidP="00F8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5CF73740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F85CB" w14:textId="77777777" w:rsidR="00AB4A3D" w:rsidRPr="00370C62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14:paraId="558C73AB" w14:textId="63D43D44" w:rsidR="000F4525" w:rsidRPr="000F63B1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2824</w:t>
      </w:r>
      <w:r w:rsidR="0034772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117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гражданина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F874F5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F874F5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BD6742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5308A1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</w:t>
      </w:r>
      <w:r w:rsid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(</w:t>
      </w:r>
      <w:r w:rsidR="007735E3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14,7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178A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всех, получивших услугу</w:t>
      </w:r>
      <w:r w:rsidR="00AB4A3D" w:rsidRPr="00370C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083E466F" w14:textId="77777777" w:rsidR="000F4525" w:rsidRPr="000F63B1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5820C599" w14:textId="77777777" w:rsidR="000F4525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7C495E0A" w14:textId="77777777" w:rsidR="005802DE" w:rsidRPr="000F63B1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A98F35" w14:textId="0EE7FB0A" w:rsidR="004A51EC" w:rsidRPr="00370C62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8149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647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</w:t>
      </w:r>
      <w:r w:rsidR="00E816DC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E7BB8B" w14:textId="71348732" w:rsidR="00AB4A3D" w:rsidRPr="00370C62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134,4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7912B4C9" w14:textId="233224BD" w:rsidR="00703FC5" w:rsidRPr="00370C62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="00176F17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428F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A5F3B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DC11A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5D1A5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591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51437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</w:t>
      </w:r>
      <w:r w:rsidR="001428F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A51EC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A51EC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</w:t>
      </w:r>
      <w:r w:rsidR="001428F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орок</w:t>
      </w:r>
      <w:proofErr w:type="spellEnd"/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C6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– межрайонных;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428F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1428F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75534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AE756F" w14:textId="6D622C0B" w:rsidR="00AB4A3D" w:rsidRPr="000F63B1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C6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– для инвалидов; 23 – для пенсионеров и лиц </w:t>
      </w:r>
      <w:proofErr w:type="spellStart"/>
      <w:r w:rsidR="00370C6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370C6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76F17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8559A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1D6B44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2591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C6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– для подростков; </w:t>
      </w:r>
      <w:r w:rsidR="00B27446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4E6AAC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 имеющих детей до 18 лет; </w:t>
      </w:r>
      <w:r w:rsid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1D6B44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</w:t>
      </w:r>
      <w:r w:rsid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591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общественных работ; </w:t>
      </w:r>
      <w:r w:rsidR="001D6B44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– </w:t>
      </w:r>
      <w:r w:rsidR="00B25912" w:rsidRPr="0037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временных работ.</w:t>
      </w:r>
    </w:p>
    <w:p w14:paraId="08DC0B41" w14:textId="77777777" w:rsidR="005D5DCA" w:rsidRPr="000F63B1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A86D9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6482184B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46344E" w14:textId="3F72BF01" w:rsidR="002E72DB" w:rsidRPr="002E72DB" w:rsidRDefault="002E72DB" w:rsidP="002E72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 на сайте комитета опубликовано 182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                             и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аналитических материала, сайт посетили 47,1 тыс. человек. </w:t>
      </w:r>
    </w:p>
    <w:p w14:paraId="77515DD6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остаются площадкой для активного диалога службы занятости и жителей Ленинградской области в период восстановления рынка труда после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кризиса, вызванного распространением новой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2E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-19 и дают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оперативно освещать информацию о ситуации на рынке труда Ленинградской области. С начала 2021 года через социальные сети поступило 777 обращений от граждан. </w:t>
      </w:r>
    </w:p>
    <w:p w14:paraId="0789E237" w14:textId="086BE130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расширяться группа комитета в социальных сетях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history="1">
        <w:r w:rsidRPr="002E7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7486 человек. Активно продолжает свою работу профиль комитета в социальной сети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2E72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https://www.instagram.com/ktzn_lo/</w:t>
        </w:r>
      </w:hyperlink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подписались 1950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 в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публикуются посты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вакансиях, фотоотчеты с мероприятий и краткая информация о прошедших событиях, анонсы предстоящих мероприятий, а также информация об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и правилах подачи заявления и признания безработным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текущей эпидемиологической обстановкой. </w:t>
      </w:r>
    </w:p>
    <w:p w14:paraId="4FB81B0A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 на странице в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сделано 433 публикации,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- 411 публикаций. </w:t>
      </w:r>
    </w:p>
    <w:p w14:paraId="64F23E46" w14:textId="2DAAA12A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активности для подписчиков – фотоконкурс «Биржа печёт», приуроченный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празднованию масленицы,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турникетов» для учащихся, принимающий участие во всероссийской акции «Неделя без турникетов», викторина в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инстаграм-сторис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рождения Ленинградской области.  Все лето проводился творческий конкурс «Вот так бригада» для подростков, работающих в летних трудовых бригадах. </w:t>
      </w:r>
    </w:p>
    <w:p w14:paraId="3C4BF5FF" w14:textId="53E41324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регулярные рубрики: «Новости #биржатруда47», «Ответы на вопросы из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«Расписание ярмарок вакансий в Ленинградской области», «Горячая вакансия». С начала года перезапущена рубрика с «историями успеха» клиентов службы занятости, обновленная рубрика получила название «Биржа </w:t>
      </w:r>
      <w:r w:rsidRPr="002E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истории» и получает большое количество откликов как от читателей, так и от СМИ. Запущены новые рубрики «Профессиональный праздник» и «Полезные советы» (рекомендации по поиску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финансовой грамотности). Кроме того, запущена временная рубрика «Взгляд изнутри», приуроченная к празднованию 30-летнего юбилея службы занятости Ленинградской области. Активно освещается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молодёжный проект комитета «Наставник47».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информационная кампания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привлечению участников онлайн-форума для предпринимателей «Биржа деловых контактов», трансляция форума велась на странице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Освещалось участие комитета по труду и занятости  населения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Ленинрадской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во Всероссийской неделе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охнарны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(ВНОТ).   </w:t>
      </w:r>
    </w:p>
    <w:p w14:paraId="4929070F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улучшению внешнего вида сообществ и повышению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удобства для участников. </w:t>
      </w:r>
    </w:p>
    <w:p w14:paraId="4600B8F8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все публикации оформляются в единой стилистике,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оформлении преобладает синий цвет, иллюстрации маркируются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#биржатруда47. </w:t>
      </w:r>
    </w:p>
    <w:p w14:paraId="24C4D8DD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у сообщества комитета в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обновились иконки меню – они приведены в единый стиль, стали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читаемыми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очевидными для пользователей, а также обновлена шапка – по шаблону, рекомендованному Центром управления регионом (далее – ЦУР).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Сообщество вошло в число лучших сообществ органов исполнительной власти Ленинградской области по оценке ЦУР (набрало 20 баллов рейтинга из 20 возможных). </w:t>
      </w:r>
    </w:p>
    <w:p w14:paraId="2EC056CD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аккаунте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созданы путеводители, объединяющие публикации, связанные одной тематикой (новости службы занятости, живые истории и т.д.). </w:t>
      </w:r>
    </w:p>
    <w:p w14:paraId="23CEB903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регулярную работу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«Трудовые Будни» https://t.me/Tb_47 (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охраны труда).</w:t>
      </w:r>
    </w:p>
    <w:p w14:paraId="4C9C66F4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федерального, регионального и районного уровней. </w:t>
      </w:r>
    </w:p>
    <w:p w14:paraId="272687B1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9 месяцев 2021 года </w:t>
      </w:r>
      <w:r w:rsidRPr="002E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размещено 418 материалов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и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о предстоящих ярмарках вакансий, информация о наличии свободных рабочих мест, мероприятия службы занятости). </w:t>
      </w:r>
    </w:p>
    <w:p w14:paraId="0C305E1B" w14:textId="16491593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газетах Санкт-Петербурга и Ленинградской области («Деловой Петербург», «Маяк», «Ленинградская панорама», «Деловая газета Ленинградской области», «Знамя труда» и др.)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в интернет-изданиях: </w:t>
      </w:r>
      <w:proofErr w:type="gram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«Online47.ru», «ivbg.ru», «rekvizit.info», «Петербургский дневник», «Гатчинская правда»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«Мойка 78»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др., на сайтах информационных агентств ТАСС, Интерфакс, 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РИА Новости, на телевизионных каналах «ЛенТВ24», «Известия 78», «47 канал»,  «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E7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proofErr w:type="spellEnd"/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Информация о работе службы занятости появлялась в федеральных деловых изданиях – РБК, «Коммерсант», «Аргументы и Факты», «Эксперт». </w:t>
      </w:r>
      <w:proofErr w:type="gramEnd"/>
    </w:p>
    <w:p w14:paraId="3696EC41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отрабатывались запросы о предоставлении информации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региональных и федеральных СМИ. Также СМИ активно использовали в работе материалы службы занятости, размещаемые на ресурсах комитета и сайте администрации Ленинградской области. Публикации, освещающие работу службы занятости региона, регулярно попадали в топ новостей Яндекса по Санкт-Петербургу и Ленинградской области. </w:t>
      </w:r>
    </w:p>
    <w:p w14:paraId="56F2472A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телевидении продемонстрировано 77 информационных материалов,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радио 56 раз размещена информация о вакансиях и мероприятиях службы занятости.</w:t>
      </w:r>
    </w:p>
    <w:p w14:paraId="27A0F006" w14:textId="77777777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онлайн-конференции,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газет. </w:t>
      </w:r>
    </w:p>
    <w:p w14:paraId="6424E0E2" w14:textId="4149EA5F" w:rsidR="002E72DB" w:rsidRPr="002E72DB" w:rsidRDefault="002E72DB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выпускаться собственная газета Биржи труда Ленинградской области. В 2021 году изменилась регулярн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ее издания – газета стала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ежемесячной, а ежеквартальной. Уменьшение частотности выпуска позволит сконцентрироваться не на количестве, а на качестве публикуемых в газете информационных материалов. </w:t>
      </w:r>
    </w:p>
    <w:p w14:paraId="7C72AED6" w14:textId="7D8DC832" w:rsidR="0013495B" w:rsidRPr="000F63B1" w:rsidRDefault="0013495B" w:rsidP="002E72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A319D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F63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526AC4E1" w14:textId="77777777" w:rsidR="00834BCF" w:rsidRDefault="00834BCF" w:rsidP="00834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52E0828" w14:textId="77777777" w:rsidR="000136D7" w:rsidRPr="002E72DB" w:rsidRDefault="000136D7" w:rsidP="00F1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31FBC2FE" w14:textId="77777777" w:rsidR="000136D7" w:rsidRPr="002E72DB" w:rsidRDefault="000136D7" w:rsidP="0001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 пособие по безработице выплачено 26294 безработным гражданам, что на 16627 человек меньше, чем за аналогичный период 2020 года (42921 человек).</w:t>
      </w:r>
    </w:p>
    <w:p w14:paraId="227469A9" w14:textId="77777777" w:rsidR="000136D7" w:rsidRPr="002E72DB" w:rsidRDefault="000136D7" w:rsidP="000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6607,00 рублей, что на 58,22% меньше по сравнению с 2020 годом (10453,92 рублей). </w:t>
      </w:r>
    </w:p>
    <w:p w14:paraId="741E2C8D" w14:textId="5BC5C469" w:rsidR="000136D7" w:rsidRPr="002E72DB" w:rsidRDefault="000136D7" w:rsidP="002E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количество безработн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граждан, получавших пособие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безработице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минимальном размере, доля этой кате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граждан составляла 43,33%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62,12%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A0072C" w14:textId="0350C4D0" w:rsidR="000136D7" w:rsidRPr="002E72DB" w:rsidRDefault="000136D7" w:rsidP="0001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F77B5C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человек, что на </w:t>
      </w:r>
      <w:r w:rsidR="00F77B5C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="00F77B5C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сравнению с аналогичным периодом 2020 года (980 человек). </w:t>
      </w:r>
    </w:p>
    <w:p w14:paraId="4A3FF6AE" w14:textId="4D0CE8EE" w:rsidR="000136D7" w:rsidRPr="002E72DB" w:rsidRDefault="000136D7" w:rsidP="0001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составляла </w:t>
      </w:r>
      <w:r w:rsidR="00C76EC2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4474,84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(за 2020 год – 6403,87 рублей).</w:t>
      </w:r>
    </w:p>
    <w:p w14:paraId="4D98EA82" w14:textId="73661475" w:rsidR="000136D7" w:rsidRPr="002E72DB" w:rsidRDefault="000136D7" w:rsidP="000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Значительно увеличилось количество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получавших стипендию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размере. Доля этой категории граждан за 9 месяцев 2021 года – </w:t>
      </w:r>
      <w:r w:rsidR="00C76EC2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66,83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период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– 50,5%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95317" w14:textId="77777777" w:rsidR="000136D7" w:rsidRPr="002E72DB" w:rsidRDefault="000136D7" w:rsidP="000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58 безработным гражданам, за аналогичный период 2020 года – 55 безработным гражданам.</w:t>
      </w:r>
    </w:p>
    <w:p w14:paraId="51EC8A17" w14:textId="4C5BA10F" w:rsidR="000136D7" w:rsidRPr="000136D7" w:rsidRDefault="000136D7" w:rsidP="000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77B5C"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оказывалась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аналогичный период 2020 года – 163 гражданам. В связи с истечением установленного периода выплаты пособия по безработице материальная помощь оказана </w:t>
      </w:r>
      <w:r w:rsid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E72DB">
        <w:rPr>
          <w:rFonts w:ascii="Times New Roman" w:eastAsia="Times New Roman" w:hAnsi="Times New Roman" w:cs="Times New Roman"/>
          <w:sz w:val="24"/>
          <w:szCs w:val="24"/>
          <w:lang w:eastAsia="ru-RU"/>
        </w:rPr>
        <w:t>3727 гражданам, в 2020 году - 1 гражданину.</w:t>
      </w:r>
    </w:p>
    <w:p w14:paraId="5A3E4733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74AF1F7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61315271" w14:textId="2E2BBCE6" w:rsidR="00AB4A3D" w:rsidRPr="000F63B1" w:rsidRDefault="002E72DB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C349E5B" w14:textId="120FD22B" w:rsidR="009B133E" w:rsidRPr="0092403B" w:rsidRDefault="007845B4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2021 года 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973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5121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ведомительно</w:t>
      </w:r>
      <w:proofErr w:type="spellEnd"/>
      <w:r w:rsidR="00D35121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12</w:t>
      </w:r>
      <w:r w:rsidR="007307C4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</w:t>
      </w:r>
      <w:r w:rsidR="00D35121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</w:t>
      </w:r>
      <w:r w:rsidR="00901BD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73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1D89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3271F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5C1D89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973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3 – впервые, </w:t>
      </w:r>
      <w:r w:rsidR="005C1D89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24 дополнения и изменения</w:t>
      </w:r>
      <w:r w:rsidR="00CE021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</w:p>
    <w:p w14:paraId="49ABD2B6" w14:textId="4763F76D" w:rsidR="009B133E" w:rsidRPr="0092403B" w:rsidRDefault="00BA7402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</w:t>
      </w:r>
      <w:r w:rsidR="007F0390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в сфере труда</w:t>
      </w:r>
      <w:r w:rsidR="00CE021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A89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0C3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0390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</w:t>
      </w:r>
      <w:r w:rsidR="009341C0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организаций области. Численность работников, охваченных коллективн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185,6</w:t>
      </w:r>
      <w:r w:rsidR="009B133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4C37805B" w14:textId="78BED820" w:rsidR="007845B4" w:rsidRPr="0092403B" w:rsidRDefault="007845B4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коллективные переговоры по подготовке проекта Ленинградского областного трехстороннего соглашения о проведении социально-экономической политики и развитии социального партнерства на 2022-2024 годы и обязатель</w:t>
      </w:r>
      <w:proofErr w:type="gramStart"/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на 2022 год. </w:t>
      </w:r>
    </w:p>
    <w:p w14:paraId="5FBF7F29" w14:textId="131E35E5" w:rsidR="009B133E" w:rsidRPr="0092403B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757119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заседаний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регулированию социально-трудовых отношений </w:t>
      </w:r>
      <w:r w:rsidR="000728F7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Президиума (далее – ЛОТК), на которых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вопросы:</w:t>
      </w:r>
    </w:p>
    <w:p w14:paraId="53DE0EC9" w14:textId="177F0318" w:rsidR="00F7698D" w:rsidRPr="0092403B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4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03B">
        <w:rPr>
          <w:rFonts w:ascii="Times New Roman" w:eastAsia="Calibri" w:hAnsi="Times New Roman" w:cs="Times New Roman"/>
          <w:sz w:val="24"/>
          <w:szCs w:val="28"/>
        </w:rPr>
        <w:t xml:space="preserve">О состоянии и перспективах развития рынка труда Ленинградской области </w:t>
      </w:r>
      <w:r w:rsidRPr="0092403B">
        <w:rPr>
          <w:rFonts w:ascii="Times New Roman" w:eastAsia="Calibri" w:hAnsi="Times New Roman" w:cs="Times New Roman"/>
          <w:sz w:val="24"/>
          <w:szCs w:val="28"/>
        </w:rPr>
        <w:br/>
        <w:t>в 2021 году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8EA0C04" w14:textId="6E9A8810" w:rsidR="00F7698D" w:rsidRPr="0092403B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403B">
        <w:rPr>
          <w:rFonts w:ascii="Times New Roman" w:eastAsia="Calibri" w:hAnsi="Times New Roman" w:cs="Times New Roman"/>
          <w:sz w:val="24"/>
          <w:szCs w:val="28"/>
        </w:rPr>
        <w:t xml:space="preserve">О состоянии и мерах по улучшению охраны труда в организациях Ленинградской области </w:t>
      </w:r>
      <w:r w:rsidR="00CE021E" w:rsidRPr="0092403B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92403B">
        <w:rPr>
          <w:rFonts w:ascii="Times New Roman" w:eastAsia="Calibri" w:hAnsi="Times New Roman" w:cs="Times New Roman"/>
          <w:sz w:val="24"/>
          <w:szCs w:val="28"/>
        </w:rPr>
        <w:t>в условиях с новой коронавирусной инфекцией (COVID-19)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5DBA483" w14:textId="1C4A3ADD" w:rsidR="00F7698D" w:rsidRPr="0092403B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403B">
        <w:rPr>
          <w:rFonts w:ascii="Times New Roman" w:eastAsia="Calibri" w:hAnsi="Times New Roman" w:cs="Times New Roman"/>
          <w:sz w:val="24"/>
          <w:szCs w:val="28"/>
        </w:rPr>
        <w:t>Об организации детской оздоро</w:t>
      </w:r>
      <w:r w:rsidR="00F4251F" w:rsidRPr="0092403B">
        <w:rPr>
          <w:rFonts w:ascii="Times New Roman" w:eastAsia="Calibri" w:hAnsi="Times New Roman" w:cs="Times New Roman"/>
          <w:sz w:val="24"/>
          <w:szCs w:val="28"/>
        </w:rPr>
        <w:t xml:space="preserve">вительной кампании в 2021 году </w:t>
      </w:r>
      <w:r w:rsidRPr="0092403B">
        <w:rPr>
          <w:rFonts w:ascii="Times New Roman" w:eastAsia="Calibri" w:hAnsi="Times New Roman" w:cs="Times New Roman"/>
          <w:sz w:val="24"/>
          <w:szCs w:val="28"/>
        </w:rPr>
        <w:t>и совершенствовании нормативной правовой базы, регулирующей вопросы оздоровления в Ленинградской области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2642EBC4" w14:textId="13080955" w:rsidR="00F7698D" w:rsidRPr="0092403B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403B">
        <w:rPr>
          <w:rFonts w:ascii="Times New Roman" w:eastAsia="Calibri" w:hAnsi="Times New Roman" w:cs="Times New Roman"/>
          <w:sz w:val="24"/>
          <w:szCs w:val="28"/>
        </w:rPr>
        <w:t>Корпоративное добровольчество на территории Ленинградской области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104FC4A" w14:textId="50599C53" w:rsidR="00F7698D" w:rsidRPr="0092403B" w:rsidRDefault="00F7698D" w:rsidP="009341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403B">
        <w:rPr>
          <w:rFonts w:ascii="Times New Roman" w:eastAsia="Calibri" w:hAnsi="Times New Roman" w:cs="Times New Roman"/>
          <w:sz w:val="24"/>
          <w:szCs w:val="28"/>
        </w:rPr>
        <w:t xml:space="preserve">О недопущении продажи, перепрофилирования и изменения функционального назначения действующих стационарных загородных детских оздоровительных лагерей, находящихся </w:t>
      </w:r>
      <w:r w:rsidR="00CE021E" w:rsidRPr="0092403B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92403B">
        <w:rPr>
          <w:rFonts w:ascii="Times New Roman" w:eastAsia="Calibri" w:hAnsi="Times New Roman" w:cs="Times New Roman"/>
          <w:sz w:val="24"/>
          <w:szCs w:val="28"/>
        </w:rPr>
        <w:t>в собс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твенности Ленинградской области;</w:t>
      </w:r>
    </w:p>
    <w:p w14:paraId="476AC0EE" w14:textId="596EE409" w:rsidR="000728F7" w:rsidRPr="0092403B" w:rsidRDefault="000728F7" w:rsidP="00072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положениях по организации дистанционной (удаленной) работы в локальных нормативных актах организаций Ленинградской области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4A68DA82" w14:textId="3EFF5A06" w:rsidR="000728F7" w:rsidRPr="0092403B" w:rsidRDefault="000728F7" w:rsidP="00072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величине прожиточного минимума в Ленинградской области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463DDF2C" w14:textId="19B8AFCC" w:rsidR="000728F7" w:rsidRPr="0092403B" w:rsidRDefault="000728F7" w:rsidP="00072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итогах социально-экономического развития Ленинградской области в 2020 году </w:t>
      </w:r>
      <w:r w:rsidR="00FE3E47"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перспективах развития на долгосрочный период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4F976BCC" w14:textId="01762DDE" w:rsidR="000728F7" w:rsidRPr="0092403B" w:rsidRDefault="000728F7" w:rsidP="00072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Оказание государственной социальной помощи малоимущим гражданам на основании социального контракта для выхода из трудной жизненной ситуации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2C13BC7A" w14:textId="45D92753" w:rsidR="000728F7" w:rsidRPr="0092403B" w:rsidRDefault="000728F7" w:rsidP="00072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состоянии трудовой миграции в Ленинградской области, а также стоимости патента для осуществления иностранными гражданами трудовой деятельности на территории Ленинградской области в 2021 году</w:t>
      </w:r>
      <w:r w:rsidR="007C5DB5" w:rsidRPr="0092403B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78CAAD07" w14:textId="48C2BAAC" w:rsidR="00B04D18" w:rsidRPr="0092403B" w:rsidRDefault="000728F7" w:rsidP="00FE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проекте Ленинградского областного трехстороннего соглашения о проведении социально-экономической политики и развитии социального партнерства на 2022-2024 годы (Соглашение), обязатель</w:t>
      </w:r>
      <w:proofErr w:type="gramStart"/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ст</w:t>
      </w:r>
      <w:proofErr w:type="gramEnd"/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орон на 2022 год к Соглашению и регионального соглашения о минимальной заработной плате в Ленинградской области на 2022 год</w:t>
      </w:r>
      <w:r w:rsidR="00757119"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6C16FBB2" w14:textId="2688C8BD" w:rsidR="00757119" w:rsidRPr="0092403B" w:rsidRDefault="00757119" w:rsidP="00FE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основных параметрах проекта областного бюджета Ленинградской области на 2022 год </w:t>
      </w:r>
      <w:r w:rsidR="00FA64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плановый период 2023 и 2024 годов;</w:t>
      </w:r>
    </w:p>
    <w:p w14:paraId="75402A60" w14:textId="38C7FD68" w:rsidR="00757119" w:rsidRPr="0092403B" w:rsidRDefault="00757119" w:rsidP="00FE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 транспортной доступности жителей новостроек Ленинградской области;</w:t>
      </w:r>
    </w:p>
    <w:p w14:paraId="783C34F1" w14:textId="479AC3DA" w:rsidR="00757119" w:rsidRPr="0092403B" w:rsidRDefault="00757119" w:rsidP="00FE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задолженности по заработной плате в организациях Ленинградской области;</w:t>
      </w:r>
    </w:p>
    <w:p w14:paraId="4427D81E" w14:textId="63FE824C" w:rsidR="00757119" w:rsidRPr="0092403B" w:rsidRDefault="00757119" w:rsidP="00FE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 Всероссийском конкурсе «Российская организация высокой социальной эффективности».</w:t>
      </w:r>
    </w:p>
    <w:p w14:paraId="16B2284B" w14:textId="3B22299C" w:rsidR="009B133E" w:rsidRPr="0092403B" w:rsidRDefault="00F4251F" w:rsidP="00FA64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социально-демографическим группам населения на 2021 год, которая утверждена Постановлением Правительства Ленинградской области от 10.02.2021 № 83.</w:t>
      </w:r>
    </w:p>
    <w:p w14:paraId="4BC093FF" w14:textId="0FC0CBC8" w:rsidR="009B133E" w:rsidRPr="0092403B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в личном подсобном хозяйстве плодов и продукции в Ленинградской области 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7D39E0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Ленинградской области  от 31</w:t>
      </w:r>
      <w:r w:rsidR="007D39E0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168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A73CE" w14:textId="64F41EDC" w:rsidR="009B133E" w:rsidRPr="0092403B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доплаты к пенсии на 2021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областным законом</w:t>
      </w:r>
      <w:r w:rsidR="00511A4D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A4D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22.12.2020 № 143</w:t>
      </w:r>
      <w:r w:rsidR="001F0B6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Ленинградской области на 2021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021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2023 и 2024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14:paraId="611AFE84" w14:textId="47951E21" w:rsidR="00757119" w:rsidRPr="0092403B" w:rsidRDefault="00757119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план поэтапного доведения величины прожиточного минимума на душу населения в Ленинградской области, установленной на 2021 год, до величины прожиточного минимума на душу населения в Ленинградской области, рассчитанной с учетом коэффициента региональной дифференциации.</w:t>
      </w:r>
    </w:p>
    <w:p w14:paraId="2C0ABAC2" w14:textId="61505A6C" w:rsidR="00757119" w:rsidRPr="0092403B" w:rsidRDefault="00757119" w:rsidP="00757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социально-демографическим группам населения на 2022 год, которая утверждена Постановлением Правительства Ленинградской области от 14.09.2021 № 590.</w:t>
      </w:r>
    </w:p>
    <w:p w14:paraId="64397B54" w14:textId="0450DA62" w:rsidR="009B133E" w:rsidRPr="0092403B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</w:t>
      </w:r>
      <w:r w:rsidR="00CE021E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минимальной заработной плате</w:t>
      </w:r>
      <w:r w:rsidR="00F4251F"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2021</w:t>
      </w:r>
      <w:r w:rsidRPr="0092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C3D2906" w14:textId="77777777" w:rsidR="009A32F4" w:rsidRPr="000F63B1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B870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4F58B638" w14:textId="77777777" w:rsidR="00AB4A3D" w:rsidRPr="000F63B1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D5A3755" w14:textId="281A5380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реализации прав работников на получение объективной информации об условиях и охране труда на рабочих местах за 9 месяцев 2021 года проведены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 государственные экспертизы условий труда, из которых 4 государственные экспертизы поведены в целях оценки качества проведения специальной оценки условий труда на 54 рабочих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местах,с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количеством занятых на них работников – 83 человека и 1  государственная экспертиза поведена в целях оценки фактических условия труда на 1 рабочем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месте,с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количеством занятых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нем работников – 1 человек.</w:t>
      </w:r>
    </w:p>
    <w:p w14:paraId="49099DEF" w14:textId="5C161699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Подготовлены 5 заключени</w:t>
      </w:r>
      <w:r w:rsidR="003B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3B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 условий труда, что составило 100% от количества обращений.</w:t>
      </w:r>
      <w:proofErr w:type="gramEnd"/>
    </w:p>
    <w:p w14:paraId="10FCAA13" w14:textId="0BEDFBAD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</w:t>
      </w:r>
    </w:p>
    <w:p w14:paraId="481562FC" w14:textId="2F33D301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2021 года (по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предворительным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данным) специальную оценку условий труда (далее - СОУТ) провели 1 473 организаци</w:t>
      </w:r>
      <w:r w:rsidR="0032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52 539 рабочих местах. Общее количество занятых на этих местах работников – 70 925 человек. Количество декларируемых рабочих мест – 35 017 единиц.</w:t>
      </w:r>
    </w:p>
    <w:p w14:paraId="77832D58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7E6F73F6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оптимальными и допустимыми (класс 1 и 2) условия труда признаны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41 056 рабочих местах для 50 115 работников;</w:t>
      </w:r>
    </w:p>
    <w:p w14:paraId="14C0B342" w14:textId="7232A973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класс условий труда 3.1. установлен на 6758 рабочих местах для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11 496 работников;</w:t>
      </w:r>
    </w:p>
    <w:p w14:paraId="3FA9AD70" w14:textId="469885B3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 условий труда 3.2. установлен на 3 155 рабочих местах для 6 081 работник</w:t>
      </w:r>
      <w:r w:rsidR="0032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B6F7FF2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 условий труда 3.3. установлен на 604 рабочих местах для 2 059 работников;</w:t>
      </w:r>
    </w:p>
    <w:p w14:paraId="2F8C5416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 условий труда 3.4. - установлен на 53 рабочих местах для 167 работников;</w:t>
      </w:r>
    </w:p>
    <w:p w14:paraId="35829C7F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класс условий труда 4. (опасный) установлен на 913 рабочих местах для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1 007 работников.</w:t>
      </w:r>
    </w:p>
    <w:p w14:paraId="6EBA7911" w14:textId="6B11F062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по проведению СОУТ на территории Ленинградской области оказывали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95 организации, аккредитованные в Минтруд России.</w:t>
      </w:r>
    </w:p>
    <w:p w14:paraId="02C38594" w14:textId="2A3FE18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реализации мероприятий по организационно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A6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техническому обеспечению работы Ленинградской областной Межведомственной комиссии по охране труда, комитетом </w:t>
      </w:r>
      <w:r w:rsidRPr="00FA6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организованы и проведены 2 заседания Ленинградской областной Межведомственной комиссии по охране труда, на котором рассматривались следующие вопросы:</w:t>
      </w:r>
    </w:p>
    <w:p w14:paraId="21E830BF" w14:textId="6FBBD088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«Особенности осуществления государственного санитарно-эпидемиологического надзора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условиях распространения новой коронавирусной инфекции, основные требования, типовые нарушения и меры, принимаемые Роспотребнадзором»;</w:t>
      </w:r>
    </w:p>
    <w:p w14:paraId="63A2C8C8" w14:textId="500D7190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использовании средств Фонда социального страхования Российской Федерации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частичное финансирование предупредительных мер по сокращению производственного травматизма и профзаболеваний, а также санаторно-курортного лечения работников, занятых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во вредных и (или) опасных условиях труда»; </w:t>
      </w:r>
    </w:p>
    <w:p w14:paraId="76FD96BD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«Корпоративные программы здоровья на предприятиях Ленинградской области»;</w:t>
      </w:r>
    </w:p>
    <w:p w14:paraId="798CDB0D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ситуации с расследованием нечастных случаев в организациях Ленинградской области»;</w:t>
      </w:r>
    </w:p>
    <w:p w14:paraId="2BBC6E72" w14:textId="2AA6A48A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законодательства Российской Федерации в области охраны труда»;</w:t>
      </w:r>
    </w:p>
    <w:p w14:paraId="76E5D477" w14:textId="5602FA54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«Обзор Федерального закона «О государственном контроле (надзоре) и муниципальном контроле в Российской Федерации» от 31.07.2020 № 248-ФЗ»;</w:t>
      </w:r>
    </w:p>
    <w:p w14:paraId="6A14DD40" w14:textId="7C339F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«Актуальность защиты медицинского персонала от вредных факторов, Требования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качеству использованных средств индивидуальной защиты медицинским персоналом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результатам исследования среди медицинских учреждений Ленинградской области в 2020 году».</w:t>
      </w:r>
    </w:p>
    <w:p w14:paraId="3D78E267" w14:textId="18215590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заседании приняли участие представители органов исполнительной власти Ленинградской области, Ленинградского регионального отделения Фонд социального страхования Российской Федерации, общественной организации «Межрегиональное Санкт-Петербурга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Ленинградской области объединение организаций профсоюзов «Ленинградская Федерация Профсоюзов», государственного бюджетного учреждения здравоохранения Ленинградской области «Центр профессиональной патологии», федерального государственного бюджетного образовательного учреждения высшего образования «Санкт-Петербургский горный университет», центра обучения по охране труда и профессиональной подготовки ЧОУ ДПО «Институт промышленной безопасности, охраны труда и социального партнерства», Государственной инспекции труда Ленинградской области, Роспотребнадзора, регионального объединения работодателей «Союз промышленников и предпринимателей Ленинградской области», Профсоюза работников здравоохранения Российской Федерации, Региональная общественная организация Ленинградской области «Профессиональная ассоциация специалистов сестринского дела», Департамент условий и охраны труда Министерства труда и социальной защиты Российской Федерации.</w:t>
      </w:r>
    </w:p>
    <w:p w14:paraId="61925073" w14:textId="77777777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3 рабочие встречи с представителями муниципальных образований по вопросу координации деятельности районных межведомственных комиссий по охране труда.</w:t>
      </w:r>
    </w:p>
    <w:p w14:paraId="45252D1C" w14:textId="351220F5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координации проведения обучения и повышения квалификации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охране труда руководителей и специалистов учреждений и предприятий региона обеспечено взаимодействие с 14 обучающими организациями. По итогам проведенного мониторинга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территории Ленинградской области за 9 месяцев  2021 года прошли обучение и проверку знаний требований охраны труда 7877 человек, в том числе 935 руководителей и 6942 специалист</w:t>
      </w:r>
      <w:r w:rsidR="0032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организаций.</w:t>
      </w:r>
    </w:p>
    <w:p w14:paraId="3E406323" w14:textId="35B3542A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комитета приняли участие в работе комиссий по расследованию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66 несчастных случаев на производстве с тяжёлым и смертельным исходом в организациях Ленинградской области.</w:t>
      </w:r>
    </w:p>
    <w:p w14:paraId="472818FF" w14:textId="6F443CFF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за 9 месяцев 2021 года организованы и проведены мероприятия по охране труда,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том числе: </w:t>
      </w:r>
    </w:p>
    <w:p w14:paraId="6853BBF6" w14:textId="44F0BA10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- 9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r w:rsidR="0032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режиме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видиоконференц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связи) по охране труда для руководителей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специалистов </w:t>
      </w:r>
      <w:proofErr w:type="spellStart"/>
      <w:r w:rsidR="00FA64FE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Бокситогорского</w:t>
      </w:r>
      <w:proofErr w:type="spellEnd"/>
      <w:r w:rsidR="00FA64FE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B5EDA" w:rsidRPr="006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Выборгского, </w:t>
      </w:r>
      <w:proofErr w:type="spellStart"/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Подпорожского</w:t>
      </w:r>
      <w:proofErr w:type="spellEnd"/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Сланцевского</w:t>
      </w:r>
      <w:proofErr w:type="spellEnd"/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="006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DA"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Тихвинского,</w:t>
      </w:r>
      <w:r w:rsidR="006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районов и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Сосновоборгского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по теме: «Охрана труда. Держим руку на пульсе», в которых приняли участие 389 человек;</w:t>
      </w:r>
    </w:p>
    <w:p w14:paraId="6F5EB796" w14:textId="5304A959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- 12 интерактивных обучающих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r w:rsidR="0032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bookmarkStart w:id="0" w:name="_GoBack"/>
      <w:bookmarkEnd w:id="0"/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режиме </w:t>
      </w:r>
      <w:proofErr w:type="spellStart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видиоконференц</w:t>
      </w:r>
      <w:proofErr w:type="spellEnd"/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связи) «Территория безопасного труда» по профилактике производственного травматизма с использованием мобильного комплекса по охране труда в учебных заведениях Ленинградской области, с общим количеством участников – 620 человек.</w:t>
      </w:r>
    </w:p>
    <w:p w14:paraId="6BB791AD" w14:textId="11C34085" w:rsidR="0050043F" w:rsidRPr="00FA64FE" w:rsidRDefault="0050043F" w:rsidP="0050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2020 года подготовлена итоговая аналитическая обзорная информация </w:t>
      </w:r>
      <w:r w:rsidRPr="00FA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состоянии условий и охраны труда в Ленинградской области.</w:t>
      </w:r>
    </w:p>
    <w:p w14:paraId="36B086A3" w14:textId="31A0B015" w:rsidR="00775D98" w:rsidRPr="00FA64FE" w:rsidRDefault="00775D98" w:rsidP="0077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</w:t>
      </w:r>
      <w:r w:rsidR="00863DE6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молочную продукцию в Ленинградской области (по данным Петростата) для осуществления компенсационной выплаты в размере, эквивалентном стоимости молока.</w:t>
      </w:r>
    </w:p>
    <w:p w14:paraId="6AA66E39" w14:textId="5B0FA405" w:rsidR="0050043F" w:rsidRPr="00FA64FE" w:rsidRDefault="0050043F" w:rsidP="0077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6 по 9 сентября 2021 года принято участие в VI Всероссийской неделе охраны труда с целью обмена опытом и обсуждения систем управления охраной труда на предприятиях всех отраслей экономики, а также по расширению международного сотрудничества. Проведена демонстрация разработок Ленинградской области в области охраны труда, проведения мероприятий по популяризации культуры обеспечения безопасных условий труда и сохранения жизни и здоровья работников региона. Для этого была представлена экспозиция с демонстрацией видеороликов, макета производственного предприятия, раздаточными материалами и памятными сувенирами от Ленинградской области. Экспозиция пользовалась неизменным интересом участников и гостей мероприятия.</w:t>
      </w:r>
    </w:p>
    <w:p w14:paraId="50D43482" w14:textId="77777777" w:rsidR="0050043F" w:rsidRPr="004A52A8" w:rsidRDefault="0050043F" w:rsidP="0050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ежемесячный мониторинг действующего законодательства в области охраны труда.</w:t>
      </w:r>
    </w:p>
    <w:p w14:paraId="16B59E5F" w14:textId="77777777" w:rsidR="00825412" w:rsidRPr="000F63B1" w:rsidRDefault="00825412" w:rsidP="008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1A5F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72908DE5" w14:textId="77777777" w:rsidR="009823FB" w:rsidRPr="000F63B1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7B01D" w14:textId="29D75C24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5585930"/>
      <w:bookmarkStart w:id="2" w:name="_Hlk21358279"/>
      <w:bookmarkStart w:id="3" w:name="_Hlk517869672"/>
      <w:bookmarkStart w:id="4" w:name="_Hlk526757651"/>
      <w:bookmarkStart w:id="5" w:name="_Hlk526757740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251E9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Управлением по вопросам миграции ГУ МВД России по Санкт-Петербургу и Ленинградской области (далее – УВМ) было оформлено 382 разрешения на работу иностранным гражданам, в том числе:</w:t>
      </w:r>
    </w:p>
    <w:p w14:paraId="135C1E7B" w14:textId="708995E8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 разрешений на работу – согласно ст. 13.2 115-ФЗ (иностранные граждане, являющиеся высококвалифицированными специалистами), в том числе 80 разрешений для граждан с визовым порядком въезда в РФ, 19 разрешений на работу для граждан с безвизовым порядком въезда);</w:t>
      </w:r>
    </w:p>
    <w:p w14:paraId="2DDEE7F0" w14:textId="771257FA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363 разрешения на работу гражданам из стран с визовым режимом въезда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(с учетом высококвалифицированных специалистов, прибывших в визовом порядке въезда). </w:t>
      </w:r>
    </w:p>
    <w:p w14:paraId="5B749CEE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2021 года выдано 342 разрешения на работу.</w:t>
      </w:r>
    </w:p>
    <w:p w14:paraId="23B53FE3" w14:textId="02D6AE3A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установленной квоты на 2021 год оформлено 163 разрешения на работу (7.34% от утвержденной квоты 2021 года).</w:t>
      </w:r>
    </w:p>
    <w:p w14:paraId="7B60B0BE" w14:textId="3DA7C036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251E9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 УВМ оформлено 57830 патентов, выдано 56981 патент иностранным гражданам по Ленинградской области.</w:t>
      </w:r>
    </w:p>
    <w:p w14:paraId="47695B97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63AB7F98" w14:textId="7F4FF994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кистан – 39771 человек (69,8%);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Тад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жикистан – 15332 человека (26,9%); Украина – 1037 человек (1,8%); Азербайджан – 468 человек (0,8%);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372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7%); л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ица без гражданства – 1 человек. </w:t>
      </w:r>
      <w:proofErr w:type="gramEnd"/>
    </w:p>
    <w:p w14:paraId="454AD584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01.01.2021 аннулировано 58 патентов иностранным гражданам, отказано в выдаче патентов 869 иностранным гражданам.</w:t>
      </w:r>
    </w:p>
    <w:p w14:paraId="62EE06FC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23806 уведомлений о привлечении к трудовой деятельности иностранных граждан на территории Ленинградской области, в том числе:</w:t>
      </w:r>
    </w:p>
    <w:p w14:paraId="608EF02D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16802 – на основании патентов;</w:t>
      </w:r>
    </w:p>
    <w:p w14:paraId="66A0C723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372 – на основании разрешения на работу;</w:t>
      </w:r>
    </w:p>
    <w:p w14:paraId="41046CEC" w14:textId="276AF991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6632 уведомления об осуществлении иностранными гражданами трудовой деятельности без получения разрешительных документов, в том числе 5470 уведомлений об осуществлении трудовой деятельности иностранными гражданами  из стран – участников Евразийского экономического союза. </w:t>
      </w:r>
    </w:p>
    <w:p w14:paraId="61D36017" w14:textId="245665FA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 о заключении трудовых договоров с иностранными гражданами, осуществляющими трудовую деятельность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Ленинградской области по патентам):</w:t>
      </w:r>
    </w:p>
    <w:p w14:paraId="1A4C1871" w14:textId="39C30391" w:rsidR="00BD55B1" w:rsidRPr="00251E91" w:rsidRDefault="00251E9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4459183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34,7%;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тывающие производства – 25,2%;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и хранение – 12,8%;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12,2%;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общественного питания – 4,9%;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4,7%; </w:t>
      </w:r>
      <w:bookmarkEnd w:id="6"/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ота и лесное хозяйство – 1,3%;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– 4,2%.</w:t>
      </w:r>
    </w:p>
    <w:p w14:paraId="74525FD8" w14:textId="1CB124BA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следующим профессиям:</w:t>
      </w:r>
    </w:p>
    <w:p w14:paraId="161DCA88" w14:textId="39CE1F70" w:rsidR="00BD55B1" w:rsidRPr="00251E91" w:rsidRDefault="00251E9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44591861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подсобный рабочий – 67,9%;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арматурщик – 2,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7%; плотник – 2,1%;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6%; повар – 1,5%;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маляр – 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 каменщик – 1,4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1%; обработчик рыбы – 0,8%;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бетонщик – 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продовольственных товаров – 0,6%; тракторист – 0,6%; 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грузчик – 0,6%;</w:t>
      </w:r>
      <w:bookmarkStart w:id="8" w:name="_Hlk61426692"/>
      <w:bookmarkEnd w:id="1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дорожный рабочий – 0,5% и другие (16,4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0FEF6FEB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за январь-сентябрь 2021 года составила 1 334 357 357,43 руб., что на 18,11% больше суммы, полученной за аналогичный период прошлого года.</w:t>
      </w:r>
      <w:bookmarkEnd w:id="8"/>
    </w:p>
    <w:p w14:paraId="6FA539CC" w14:textId="2FA16C0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распоряжением Губернатора Ленинградской области  от 04.06.2014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 по Ленинградской области, ГУ МВД России по Санкт-Петербургу и Ленинградской области.</w:t>
      </w:r>
    </w:p>
    <w:p w14:paraId="30A7467D" w14:textId="2537312F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 на заседаниях МВК рассматриваются вопросы текущего состояния регионального рынка труда, основные показатели трудовой миграции  в Ленинградской области,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также заявки работодателей о формировании квот  на выдачу разрешений на работу иностранным работникам из стран с визовым порядком въезда в Ленинградскую область.</w:t>
      </w:r>
    </w:p>
    <w:p w14:paraId="1C47FB29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МВК относятся:</w:t>
      </w:r>
    </w:p>
    <w:p w14:paraId="107B0DE4" w14:textId="6B42D57F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– заявки работодателей), заявок работодателей  об увеличении (уменьшении) размера определенной потребности в привлечении иностранных работников для замещения вакантных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создаваемых рабочих мест либо выполнения работ (оказания услуг) (далее – заявки работодателей об увеличении (уменьшении) размера потребности);</w:t>
      </w:r>
    </w:p>
    <w:p w14:paraId="5BD0ADEE" w14:textId="4FD5349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 в порядке и в сроки, установленные </w:t>
      </w:r>
      <w:hyperlink r:id="rId18" w:history="1">
        <w:r w:rsidRPr="00251E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(распоряжение Губернатора Ленинградской области от 26.07.2019 № 477-рг);</w:t>
      </w:r>
    </w:p>
    <w:p w14:paraId="6FAD75F3" w14:textId="3398DCD6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использования работодателями труда иностранных работников  на территории Ленинградской области (распоряжение Губернатора Ленинградской области от 20.11.2017 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728-рг);</w:t>
      </w:r>
    </w:p>
    <w:p w14:paraId="6C92DA18" w14:textId="1E3BB601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на территории Ленинградской области межправительственных соглашений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организованному набору иностранной рабочей силы (распоряжение Губернатора Ленинградской области от 02.11.2018 № 777-рг);</w:t>
      </w:r>
    </w:p>
    <w:p w14:paraId="58C5BD6F" w14:textId="18C08821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решений об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637» </w:t>
      </w:r>
      <w:bookmarkStart w:id="9" w:name="_Hlk17983298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(распоряжение Губернатора Ленинградской области от 26.07.2019 № 477-рг).</w:t>
      </w:r>
      <w:bookmarkEnd w:id="9"/>
    </w:p>
    <w:p w14:paraId="350128C3" w14:textId="412B9FB8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520974262"/>
      <w:bookmarkStart w:id="11" w:name="_Hlk44669601"/>
      <w:bookmarkStart w:id="12" w:name="_Hlk52460413"/>
      <w:bookmarkStart w:id="13" w:name="_Hlk60237263"/>
      <w:bookmarkEnd w:id="2"/>
      <w:bookmarkEnd w:id="3"/>
      <w:bookmarkEnd w:id="4"/>
      <w:bookmarkEnd w:id="5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9 месяцев 2021 года состоялось 11 заседаний МВК, на которых было рассмотрена 41 заявка работодателей о потребности в привлечении 30618 иностранных работников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Ленинградской области, в том числе: </w:t>
      </w:r>
    </w:p>
    <w:p w14:paraId="088587BA" w14:textId="3AA45C90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заявок работодателей для формирования корректировки квоты 2021 года в сторону увеличения на 726 разрешений на работу;</w:t>
      </w:r>
    </w:p>
    <w:p w14:paraId="05B4979B" w14:textId="6DD2BFCD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заявок работодателей для формирования корректировки квоты 2021 года в сторону уменьшения на 469 разрешений на работу;</w:t>
      </w:r>
    </w:p>
    <w:p w14:paraId="7C28CF26" w14:textId="48D978C5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заявок работодателей для формирования квоты 2022 года на 29423 разрешения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работу.</w:t>
      </w:r>
    </w:p>
    <w:p w14:paraId="449FEDB3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заседаний МВК были приняты решения: </w:t>
      </w:r>
    </w:p>
    <w:p w14:paraId="466EC079" w14:textId="00BEF0C3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8 заявок работодателей для формирования корректировки квоты 2021 года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увеличения на 447 разрешений на работу;</w:t>
      </w:r>
    </w:p>
    <w:p w14:paraId="21DAB0A2" w14:textId="6327568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8 заявок работодателей для формирования корректировки квоты 2021 года в сторону уменьшения на 469 разрешений на работу;</w:t>
      </w:r>
    </w:p>
    <w:p w14:paraId="5DB7060D" w14:textId="4E4B2E8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25 заявок работодателей для формирования квоты 2022 года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22891 разрешение на работу.</w:t>
      </w:r>
    </w:p>
    <w:p w14:paraId="516FFA56" w14:textId="4A8A484F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квота на 2021 год составляет 2222 разрешения на работу</w:t>
      </w:r>
      <w:bookmarkStart w:id="14" w:name="_Hlk10468476"/>
      <w:bookmarkEnd w:id="10"/>
      <w:bookmarkEnd w:id="11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Минтруда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05.08.2021 № 549н).</w:t>
      </w:r>
    </w:p>
    <w:p w14:paraId="4FE3985F" w14:textId="717B68B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Hlk34401626"/>
      <w:bookmarkStart w:id="16" w:name="_Hlk52798240"/>
      <w:bookmarkStart w:id="17" w:name="_Hlk52460699"/>
      <w:bookmarkStart w:id="18" w:name="_Hlk44669649"/>
      <w:bookmarkEnd w:id="12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январь-сентябрь 2021 года в комитет по труду и занятости населения Ленинградской области поступили 67 запросов Управления по вопросам миграции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 Ленинградской области о выдаче заключений о привлечении и об использовании 1036 иностранных работник</w:t>
      </w:r>
      <w:bookmarkEnd w:id="13"/>
      <w:bookmarkEnd w:id="14"/>
      <w:bookmarkEnd w:id="15"/>
      <w:bookmarkEnd w:id="16"/>
      <w:bookmarkEnd w:id="17"/>
      <w:bookmarkEnd w:id="18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ов.</w:t>
      </w:r>
    </w:p>
    <w:p w14:paraId="69595A43" w14:textId="76E25BF2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комитетом выдано 65 заключений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целесообразности привлечения и использования 1034 иностранных работников,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– 872 по квотируемым специальностям.</w:t>
      </w:r>
    </w:p>
    <w:p w14:paraId="23E8AFCE" w14:textId="02A3655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Hlk52460772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было выдано 2 заключения о нецелесообразности привлечения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иностранных работников на основании пункта 8 Приказа Министерства труда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социальной защиты Российской федерации № 795н от 24.10.2014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оформления и выдачи заключения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 и об использовании иностранных работников»:</w:t>
      </w:r>
    </w:p>
    <w:p w14:paraId="30AD4828" w14:textId="7259537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– отсутствие в регистре получателей услуг сведений о потребности работодателя, заказчика работ (услуг) в работниках для замещения свободных рабочих мест, по которым работодателем подано заявление о выдаче разрешения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привлечение и использование иностранных работников;</w:t>
      </w:r>
    </w:p>
    <w:p w14:paraId="02B5E39A" w14:textId="3E8E284D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– если срок представления сведений о потребности работодателя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работниках для замещения свободных рабочих мест (вакантных должностей)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 занятости населения составляет менее одного календарного месяца на дату получения запроса о выдаче заключения.</w:t>
      </w:r>
    </w:p>
    <w:p w14:paraId="16E93FD9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14:paraId="0D432474" w14:textId="5FFF6C1C" w:rsidR="00BD55B1" w:rsidRPr="00251E91" w:rsidRDefault="00251E9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Бокситогорский – 2 человека (0,2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3DA3E98" w14:textId="7DFB1082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Всеволожский – 156 человека (15,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6A03FDC" w14:textId="7DB3E5C6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Выборгский – 7 человек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CBEB151" w14:textId="2E1C3F7F" w:rsidR="00BD55B1" w:rsidRPr="00251E91" w:rsidRDefault="00251E9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82 человека (7,9</w:t>
      </w:r>
      <w:r w:rsidR="00BD55B1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AA53477" w14:textId="3F8A4BC1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gramEnd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733 человека (70,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EDA6A01" w14:textId="1CA16C8F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 – 4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C21B216" w14:textId="458F117D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Кировский – 9 человек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3B9A412" w14:textId="13FBC6F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</w:t>
      </w:r>
      <w:proofErr w:type="gramEnd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3D83B94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 – 28 человек (2,7%);</w:t>
      </w:r>
    </w:p>
    <w:p w14:paraId="69726BF6" w14:textId="502CB2A6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– 4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5A4BC58" w14:textId="50C53E0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Сланцевский – 3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7BDA5F18" w14:textId="6621C40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Тихвинский</w:t>
      </w:r>
      <w:proofErr w:type="gramEnd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 человека (0,</w:t>
      </w:r>
      <w:r w:rsid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37F27D7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– 1 человек (0,1%).</w:t>
      </w:r>
    </w:p>
    <w:p w14:paraId="402809FE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Визовые иностранные работники востребованы из 34 стран. Наибольшее количество иностранных работников работодатели планируют привлечь из:</w:t>
      </w:r>
    </w:p>
    <w:p w14:paraId="5B143987" w14:textId="2070A7F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Китая – 562 человека (54,25%)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строительства, в сфере обрабатывающего производства, в сфере сельского хозяйства, охоты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лесного хозяйства;</w:t>
      </w:r>
    </w:p>
    <w:p w14:paraId="31EFCB3B" w14:textId="7C551BD2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Сербия – 204 человека (19,69%)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строительства;</w:t>
      </w:r>
    </w:p>
    <w:p w14:paraId="57547272" w14:textId="2D48B07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Индия – 179 человека (17,28%)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производства, в сфере деятельности административной и сопутствующих дополнительных услуг;</w:t>
      </w:r>
    </w:p>
    <w:p w14:paraId="5DB75B59" w14:textId="20B7AF4C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Вьетнама – 64 человека (6,18 %)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5E3860AA" w14:textId="226D7451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Hlk44592129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Финляндии – 8 человек (0,77%) </w:t>
      </w:r>
      <w:bookmarkStart w:id="21" w:name="_Hlk65503810"/>
      <w:bookmarkEnd w:id="20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</w:t>
      </w:r>
      <w:bookmarkEnd w:id="21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сфере сельского хозяйства, охоты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лесного хозяйства в сфере деятельности по операциям с недвижимым имуществом;</w:t>
      </w:r>
    </w:p>
    <w:p w14:paraId="33E132D9" w14:textId="3899DD08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Боснии и Герцеговины – 4 человека (0,39%)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строительства;</w:t>
      </w:r>
    </w:p>
    <w:p w14:paraId="6168878C" w14:textId="0A13AD7A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_Hlk44592116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 – 2 человека</w:t>
      </w:r>
      <w:bookmarkEnd w:id="22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(0,19%)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0224E21A" w14:textId="101CDBD4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Хорватии – 2 человека (0,19%)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строительства;</w:t>
      </w:r>
    </w:p>
    <w:p w14:paraId="5C02A38F" w14:textId="0FA837CD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Индонезии – 2 человека (0,19%)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предоставления прочих видов услуг;</w:t>
      </w:r>
    </w:p>
    <w:p w14:paraId="6C4993EB" w14:textId="2E2E435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Таиланда – 2 человека (0,19%)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предоставления прочих видов услуг;</w:t>
      </w:r>
    </w:p>
    <w:p w14:paraId="5DBC8F96" w14:textId="0522F8D9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Абхазии – 1 человек (0,1%)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25DD5904" w14:textId="39B88E99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Ирана – 1 человек (0,1%)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деятельности по операциям с недвижимым имуществом;</w:t>
      </w:r>
    </w:p>
    <w:p w14:paraId="37ACBB08" w14:textId="0640F203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Эстонии – 1 человек (0,1%)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обеспечения электрической энергией, газом и паром, кондиционирование воздуха;</w:t>
      </w:r>
    </w:p>
    <w:p w14:paraId="788FEDCE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Литвы – 1 человек (0,1%) для осуществления трудовой деятельности в сфере сельского хозяйства, охоты и лесного хозяйства;</w:t>
      </w:r>
    </w:p>
    <w:p w14:paraId="44A2F81D" w14:textId="0247E12F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Израиля – 1 человек (0,1%)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в сфере обрабатывающего производства;</w:t>
      </w:r>
    </w:p>
    <w:p w14:paraId="3B15492D" w14:textId="1E99CD3D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Грузии – 1 человек (0,1%) для осуществления трудовой деятельности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3AA5189E" w14:textId="4B42F49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Дании – 1 человек (0,1%) для осуществления трудовой деятельности 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торговли оптовой и розничной; ремонта </w:t>
      </w:r>
      <w:proofErr w:type="spell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атотранспортных</w:t>
      </w:r>
      <w:proofErr w:type="spellEnd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и мотоциклов.</w:t>
      </w:r>
    </w:p>
    <w:p w14:paraId="6AAE33FF" w14:textId="77341CA5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Hlk52460793"/>
      <w:bookmarkEnd w:id="19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2021 года комитетом согласовано привлечение иностранных работников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стран с визовым порядком въезда в РФ по следующим видам экономической деятельности:</w:t>
      </w:r>
    </w:p>
    <w:p w14:paraId="380DAC3B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735 человек (70,95%);</w:t>
      </w:r>
    </w:p>
    <w:p w14:paraId="7F95312A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266 человек (25,68%);</w:t>
      </w:r>
    </w:p>
    <w:p w14:paraId="198C2161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охота и лесное хозяйство – 22 человека (2,12%);</w:t>
      </w:r>
    </w:p>
    <w:p w14:paraId="2FE9494D" w14:textId="056651B6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Hlk44592196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 человек (0,48%);</w:t>
      </w:r>
    </w:p>
    <w:p w14:paraId="23ADD841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– 4 человека (0,39%);</w:t>
      </w:r>
    </w:p>
    <w:p w14:paraId="5F4E01D0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недвижимым имуществом – 2 человека (0,19%);</w:t>
      </w:r>
    </w:p>
    <w:p w14:paraId="4EA87E59" w14:textId="58EFB615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паром, кондиционирование воздуха –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человек (0,1%).</w:t>
      </w:r>
    </w:p>
    <w:bookmarkEnd w:id="24"/>
    <w:p w14:paraId="31040ADA" w14:textId="6A32F8F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 числа востребованных специалистов 163 человека (15,73%) </w:t>
      </w:r>
      <w:proofErr w:type="spell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привлекаются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не квотируемым специальностям (должностям).</w:t>
      </w:r>
      <w:bookmarkEnd w:id="23"/>
    </w:p>
    <w:p w14:paraId="032123F7" w14:textId="77777777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Оперативным штабом по предупреждению завоза и распространения новой коронавирусной инфекции на территории Российской Федерации 14.01.2021 был утвержден Алгоритм действий по привлечению в экономику Российской Федерации иностранных граждан (далее – Алгоритм).</w:t>
      </w:r>
    </w:p>
    <w:p w14:paraId="296D7B3F" w14:textId="329484C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Алгоритмом сбор сведений о привлечении иностранных работников осуществляется с использованием информационно-аналитической системы Общероссийская база вакансий «Работа в России» (далее – ИАС «Работа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России»).</w:t>
      </w:r>
    </w:p>
    <w:p w14:paraId="681DE26C" w14:textId="32F3D0A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в уполномоченный орган по реализации Алгоритма (комитет по труду и занятости населения Ленинградской области) поступило 63 заявки от 18 работодателей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 3555 иностранных работников, по итогам заседаний МВК были приняты решения:</w:t>
      </w:r>
    </w:p>
    <w:p w14:paraId="5D844577" w14:textId="5D481FA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согласовать в полном объеме 45 заявок от 9 работодателей о привлечении 2742 иностранных работников, из них 55 из Вьетнама, 26 из Сербии, 72 из Индии, 1843 </w:t>
      </w: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</w:t>
      </w:r>
      <w:proofErr w:type="gramEnd"/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537 из Таджикистана, 161 из Китая, 26 из Казахстана, 20 из Киргизии; 161 из Китая, 2 из Боснии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Герцеговины.</w:t>
      </w:r>
    </w:p>
    <w:p w14:paraId="3669C637" w14:textId="4C35725E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отклонить на основании п. 4 Алгоритма (среднесписочная численность работников, которых превышает критерии предусмотренные пп. «б», п.2 части 11, ст. 4 ФЗ от 24 июля 2007 года № 209-ФЗ «О развитии малого и среднего предпринимательства в Российской Федерации»): 10 заявок от 5 работодателей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 777 иностранных работников, из них 636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Узбекистана, 141 – Таджикистана;</w:t>
      </w:r>
    </w:p>
    <w:p w14:paraId="12E5F99C" w14:textId="5148DFBB" w:rsidR="00BD55B1" w:rsidRPr="00251E9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отклонить заявки в связи с несоответствием работодателя требованиям, содержащимся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 4 Алгоритма в части дохода компании, который должен превышать предельные значения, установленные для средних предприятий постановление Правительства Российской Федерации от 4 апреля 2016 года № 265 «О предельных значениях дохода, полученного от осуществления предпринимательской деятельности, для каждой категории субъектов малого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среднего предпринимательства»: 2 заявки от 2 работодателей о привлечении 6 иностранных работников,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4 из Узбекистана, 2 из Украины;</w:t>
      </w:r>
    </w:p>
    <w:p w14:paraId="1BA5900B" w14:textId="6DD20DF8" w:rsidR="00BD55B1" w:rsidRPr="00BD55B1" w:rsidRDefault="00BD55B1" w:rsidP="00251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рассматривались 8 заявок 5 работодателей о привлечении 30 иностранных работников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 заявок от 4 работодателей поданы на 0 иностранных работников),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6 человек из Чехии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обращением работодателя об ошибочности направления заявки в личном кабинете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рассмотрение; 24 из Узбекистана, в связи</w:t>
      </w:r>
      <w:r w:rsidR="00BC7342"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подачей повторных списков иностранных работников в Алтайский край.</w:t>
      </w:r>
    </w:p>
    <w:p w14:paraId="77B9E93C" w14:textId="77777777" w:rsidR="00BD55B1" w:rsidRPr="00B750BE" w:rsidRDefault="00BD55B1" w:rsidP="00251E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E4887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111156AA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61366649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7EFEF700" w14:textId="77777777" w:rsidR="00B91B40" w:rsidRPr="000F63B1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50176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6E15DCB6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подпрограммы - создание благоприятных условий для переселения на территорию Ленинградской области соотечественников, проживающих за рубежом. </w:t>
      </w:r>
    </w:p>
    <w:p w14:paraId="57C131F2" w14:textId="3B34B9D4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 в комитет от Управления по вопросам миграции ГУ МВД России по Санкт-Петербургу и Ленинградской области поступило на рассмотрение 582 копии заявлений соотечественников.</w:t>
      </w:r>
    </w:p>
    <w:p w14:paraId="29A5E642" w14:textId="70C9BE59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указанных заявлений комитет принял следующие решения:</w:t>
      </w:r>
    </w:p>
    <w:p w14:paraId="5C7F478B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- 516 заявлений согласованы,</w:t>
      </w:r>
    </w:p>
    <w:p w14:paraId="19E889F9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- 66 заявлений отклонены.</w:t>
      </w:r>
    </w:p>
    <w:p w14:paraId="0901CD35" w14:textId="5E09A8FB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Hlk510007378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 Управлением по вопросам миграции ГУ МВД России по Санкт-Петербургу и Ленинградской области поставлено на учет в качестве прибывших на территорию вселения 449 участников (650 членов семей).</w:t>
      </w:r>
      <w:bookmarkEnd w:id="25"/>
    </w:p>
    <w:p w14:paraId="252A2320" w14:textId="665A5BC2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соотечественников переселилось из Казахстана – 476 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 (43,3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Таджикистана – 235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(21,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Киргизии – 112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0,2%), Узбекистан –              83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 (7,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6%), Украины – 50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(4,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Армении – 36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(3,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 Молдова –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Азербайджан – 22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(2%),  Туркмения – 20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 (1,8%), другие страны – 3,4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  <w:proofErr w:type="gramEnd"/>
    </w:p>
    <w:p w14:paraId="5C92574B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период с 2015 года по 3 квартал 2021 года в Ленинградскую область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рамках реализации подпрограммы переселились 11203 соотечественника – 4621 участник (6438 членов их семей).</w:t>
      </w:r>
    </w:p>
    <w:p w14:paraId="752BBBD3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 числа соотечественников испытывают здравоохранение и образование.</w:t>
      </w:r>
    </w:p>
    <w:p w14:paraId="29D176DA" w14:textId="344FB5DA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 до момента вселения на территорию Ленинградской области или работают в регионе на момент подачи заявления об участии в подпрограмме. В службу занятости населения Ленинградской области в январе–сентябре 2021 года за содействием в трудоустройстве обратилось 42 соотечественника (из них 40 участников программы), переселившихся в Ленинградскую области в рамках реализации подпрограммы.</w:t>
      </w:r>
    </w:p>
    <w:p w14:paraId="63C963EE" w14:textId="5B7686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числе прибывших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востребованных специалистов: менеджер –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139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инженер – 68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педагог – 62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экономист – 51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бухгалтер –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48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врач – 38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медсестра – 23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техник – 22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юрист – 20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подсобный рабочий – 19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электрик – 19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водитель – 17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сварщик –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слесарь – 14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программист – 13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квалифицированный рабочий –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proofErr w:type="gramEnd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иные профессии – 133 </w:t>
      </w:r>
      <w:r w:rsidR="005C51C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овека.</w:t>
      </w:r>
    </w:p>
    <w:p w14:paraId="400BA064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Лицам-участникам подпрограммы и членам их семей оказываются государственные 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14:paraId="1914EAA2" w14:textId="40FD4F29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6" w:name="_Hlk69207756"/>
      <w:bookmarkStart w:id="27" w:name="_Hlk84865656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комитета по здравоохранению Ленинградской области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медицинские организации государственной системы здравоохранения Ленинградской области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 3 квартала 2021 года 46 соотечественников обратились за медицинской помощью, в том числе 16 участников подпрограммы.</w:t>
      </w:r>
    </w:p>
    <w:p w14:paraId="5279F535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Hlk69206648"/>
      <w:bookmarkEnd w:id="26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по соотечественникам в возрасте до 25 лет получают среднее профессиональное образование – 6 соотечественников (из них 5 участников программы) и высшее образование 1 участник программы.</w:t>
      </w:r>
    </w:p>
    <w:p w14:paraId="2BC0E07A" w14:textId="34EF5BD9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Hlk84865761"/>
      <w:bookmarkEnd w:id="27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создания условий для адаптации и интеграции участников подпрограммы и 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 (далее – Фонд), организовано предоставление на безвозмездной основе консультационной, информационной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обучающей поддержки. </w:t>
      </w:r>
      <w:r w:rsidR="002A4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9 месяцев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в Фонд за консультационной услугой по вопросу создания собственного бизнеса и осуществления предпринимательской деятельности </w:t>
      </w:r>
      <w:r w:rsidR="002A4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участники подпрограммы не обращались.</w:t>
      </w:r>
    </w:p>
    <w:p w14:paraId="21706337" w14:textId="6F8EC694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Hlk76718819"/>
      <w:bookmarkEnd w:id="28"/>
      <w:bookmarkEnd w:id="29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прибывших соотечественников за 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в Единой региональной автоматизированной информационной системе АИС «Социальная защита Ленинградской области» </w:t>
      </w:r>
      <w:proofErr w:type="gramStart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</w:t>
      </w:r>
      <w:proofErr w:type="gramEnd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 гражданина, из них  5 были предоставлены меры социальной поддержки в виде ежемесячного пособия на товары детского ассортимента</w:t>
      </w:r>
      <w:r w:rsidR="005C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продукты детского питания.</w:t>
      </w:r>
    </w:p>
    <w:bookmarkEnd w:id="30"/>
    <w:p w14:paraId="6F9B05FA" w14:textId="2736448C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на реализацию подпрограммы, на информирование потенциальных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прибывших участник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подпрограммы было выделено 1650,0 тыс. руб.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01.10.2021 на реализацию мероприятий, предусмотренных региональной программой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кассовый расход составил 1 339,99 тыс. руб. (в т.ч. средства федерального бюджета 656,6 тыс. руб.).</w:t>
      </w:r>
    </w:p>
    <w:p w14:paraId="29412F39" w14:textId="0D386090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прибывших участников подпрограммы: </w:t>
      </w:r>
      <w:hyperlink r:id="rId19" w:history="1">
        <w:r w:rsidRPr="00667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www.территориятруда.рф</w:t>
        </w:r>
      </w:hyperlink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hyperlink r:id="rId20" w:history="1">
        <w:r w:rsidRPr="00667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www.tt47.ru</w:t>
        </w:r>
      </w:hyperlink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был разработан в рамках средств, выделенных на реализацию подпрограммы в 2017 году. За 9 месяцев 2021 года зарегистрировано 46 875 посещений портала 38 211 пользователями. </w:t>
      </w:r>
    </w:p>
    <w:p w14:paraId="44BD6AA9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соотечественников за рубежом о подпрограмме состоялись видеоконференции с участием представителей Управления по вопросам миграции </w:t>
      </w:r>
      <w:bookmarkStart w:id="31" w:name="_Hlk509567031"/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 Ленинградской области и службы занятости населения Ленинградской области:</w:t>
      </w:r>
    </w:p>
    <w:bookmarkEnd w:id="31"/>
    <w:p w14:paraId="31B19DC7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февраля 2021 года с представительством МВД России в Республике Узбекистан;</w:t>
      </w:r>
    </w:p>
    <w:p w14:paraId="05FEA09B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февраля 2021 года с представительством МВД России в Республике Таджикистан;</w:t>
      </w:r>
    </w:p>
    <w:p w14:paraId="14640E76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июля 2021 года с представительством МВД России в Киргизской Республике.</w:t>
      </w:r>
    </w:p>
    <w:p w14:paraId="5D8B8887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 вопросам трудоустройства в Ленинградской области и другим мероприятиям подпрограммы.</w:t>
      </w:r>
    </w:p>
    <w:p w14:paraId="4D017DB5" w14:textId="1E983E05" w:rsidR="00CA1859" w:rsidRPr="00667B1D" w:rsidRDefault="005C51C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B1D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месяцев </w:t>
      </w:r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 подведомс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твенными организациями комитета </w:t>
      </w:r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660 консультаций по вопросам участия в региональной программе </w:t>
      </w:r>
      <w:proofErr w:type="gramStart"/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переселения</w:t>
      </w:r>
      <w:proofErr w:type="gramEnd"/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  <w:r w:rsid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CA1859"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 консультаций – совместно с Управлением по вопросам миграции ГУ МВД России по Санкт-Петербургу и Ленинградской области.</w:t>
      </w:r>
    </w:p>
    <w:p w14:paraId="4D405A5A" w14:textId="77777777" w:rsidR="00CA1859" w:rsidRPr="00667B1D" w:rsidRDefault="00CA1859" w:rsidP="00CA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</w:p>
    <w:p w14:paraId="31F95CFF" w14:textId="096F2075" w:rsidR="00A20173" w:rsidRPr="00A20173" w:rsidRDefault="00A20173" w:rsidP="00A2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20173" w:rsidRPr="00A20173" w:rsidSect="00285D3C">
          <w:headerReference w:type="even" r:id="rId21"/>
          <w:headerReference w:type="default" r:id="rId22"/>
          <w:headerReference w:type="first" r:id="rId23"/>
          <w:pgSz w:w="11906" w:h="16838" w:code="9"/>
          <w:pgMar w:top="1276" w:right="567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717"/>
        <w:gridCol w:w="1240"/>
        <w:gridCol w:w="178"/>
        <w:gridCol w:w="1062"/>
        <w:gridCol w:w="355"/>
        <w:gridCol w:w="1505"/>
        <w:gridCol w:w="338"/>
        <w:gridCol w:w="1056"/>
        <w:gridCol w:w="362"/>
        <w:gridCol w:w="1056"/>
        <w:gridCol w:w="503"/>
        <w:gridCol w:w="1056"/>
        <w:gridCol w:w="503"/>
        <w:gridCol w:w="567"/>
        <w:gridCol w:w="150"/>
        <w:gridCol w:w="417"/>
        <w:gridCol w:w="783"/>
        <w:gridCol w:w="351"/>
        <w:gridCol w:w="372"/>
      </w:tblGrid>
      <w:tr w:rsidR="00F753F0" w:rsidRPr="009F7F7F" w14:paraId="75731C3F" w14:textId="77777777" w:rsidTr="00F753F0">
        <w:trPr>
          <w:gridAfter w:val="2"/>
          <w:wAfter w:w="72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CAC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6EF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E5D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999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C0B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D55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FD4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BB7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3AD5" w14:textId="77777777" w:rsidR="00F753F0" w:rsidRPr="009F7F7F" w:rsidRDefault="00F753F0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5F5C9" w14:textId="77777777" w:rsidR="00F753F0" w:rsidRPr="009F7F7F" w:rsidRDefault="00F753F0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9F7F7F" w:rsidRPr="009F7F7F" w14:paraId="48672716" w14:textId="77777777" w:rsidTr="009F7F7F">
        <w:trPr>
          <w:gridAfter w:val="2"/>
          <w:wAfter w:w="72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33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27F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9D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F91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BF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CFE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F0F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D2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04E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F5A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3EF199C5" w14:textId="77777777" w:rsidTr="009F7F7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BA9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5F9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AA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9F7F7F" w:rsidRPr="009F7F7F" w14:paraId="7AFDEE2E" w14:textId="77777777" w:rsidTr="009F7F7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321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DA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26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2020-2021 гг.</w:t>
            </w:r>
          </w:p>
        </w:tc>
      </w:tr>
      <w:tr w:rsidR="009F7F7F" w:rsidRPr="009F7F7F" w14:paraId="3B244DFA" w14:textId="77777777" w:rsidTr="009F7F7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26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7D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ED9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03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FB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A26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F4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63A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8C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75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14:paraId="5BF4030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37883B8F" w14:textId="77777777" w:rsidTr="009F7F7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390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86C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753D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ACC1" w14:textId="5FF0B62B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D3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776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6A5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61689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 к 01.10.20,               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F652A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 к 01.01.21,             %</w:t>
            </w:r>
          </w:p>
        </w:tc>
        <w:tc>
          <w:tcPr>
            <w:tcW w:w="372" w:type="dxa"/>
            <w:vAlign w:val="center"/>
            <w:hideMark/>
          </w:tcPr>
          <w:p w14:paraId="7ECDC84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6040BB4" w14:textId="77777777" w:rsidTr="009F7F7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9D9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608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CB383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867C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2021  к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DF30AC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2208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6D4E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14:paraId="2AB17C8E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3A3A3EFC" w14:textId="77777777" w:rsidTr="009F7F7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1FA7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8DA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4B7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2020 года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ABA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2021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A730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2020,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4B426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E930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3CD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14:paraId="797936DA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3AD5587" w14:textId="77777777" w:rsidTr="009F7F7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F11B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FD2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CE67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D54C1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C6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79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26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92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1FE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1BE4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14:paraId="67EC6A0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086E31AD" w14:textId="77777777" w:rsidTr="009F7F7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0FF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03D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472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097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0ED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F5A0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23F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6F3D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625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5D6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dxa"/>
            <w:vAlign w:val="center"/>
            <w:hideMark/>
          </w:tcPr>
          <w:p w14:paraId="1151C13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403B8DCB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36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B059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B2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6A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96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A3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BB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2F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4B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1B4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72" w:type="dxa"/>
            <w:vAlign w:val="center"/>
            <w:hideMark/>
          </w:tcPr>
          <w:p w14:paraId="75CFCEC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04BE8274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9C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F61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10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C3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007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FC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5A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4A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60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033F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72" w:type="dxa"/>
            <w:vAlign w:val="center"/>
            <w:hideMark/>
          </w:tcPr>
          <w:p w14:paraId="1926E8D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542C8C0A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E8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3856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62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20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B2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4A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D6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17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FB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627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372" w:type="dxa"/>
            <w:vAlign w:val="center"/>
            <w:hideMark/>
          </w:tcPr>
          <w:p w14:paraId="138443DF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689E48F2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72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7961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C1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ED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C0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C2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EC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03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D4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C5A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72" w:type="dxa"/>
            <w:vAlign w:val="center"/>
            <w:hideMark/>
          </w:tcPr>
          <w:p w14:paraId="6E1CF98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5E4E8DB7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B1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4E6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BF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55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4F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48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78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6F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10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BA0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72" w:type="dxa"/>
            <w:vAlign w:val="center"/>
            <w:hideMark/>
          </w:tcPr>
          <w:p w14:paraId="2F07EE5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1C7EF0FA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BB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44A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38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E7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CE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06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FD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0D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B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D8E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72" w:type="dxa"/>
            <w:vAlign w:val="center"/>
            <w:hideMark/>
          </w:tcPr>
          <w:p w14:paraId="56F8A92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079143C5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13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5B6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C7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1B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0B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8C3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36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AB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1E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F8E9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72" w:type="dxa"/>
            <w:vAlign w:val="center"/>
            <w:hideMark/>
          </w:tcPr>
          <w:p w14:paraId="55ADCCA9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D246426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8C4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0E2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5F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9A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43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1D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19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D2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17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3424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72" w:type="dxa"/>
            <w:vAlign w:val="center"/>
            <w:hideMark/>
          </w:tcPr>
          <w:p w14:paraId="0A626E0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1BBD23E8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2E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71B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90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14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FF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FC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FA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B20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10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213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72" w:type="dxa"/>
            <w:vAlign w:val="center"/>
            <w:hideMark/>
          </w:tcPr>
          <w:p w14:paraId="7D17F91F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2B5C1A89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8A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2D6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B5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B8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EC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43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EA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8C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25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1FC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372" w:type="dxa"/>
            <w:vAlign w:val="center"/>
            <w:hideMark/>
          </w:tcPr>
          <w:p w14:paraId="696A3AB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20FF21C4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44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93D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2C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41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E6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89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2E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3D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ED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1DA9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72" w:type="dxa"/>
            <w:vAlign w:val="center"/>
            <w:hideMark/>
          </w:tcPr>
          <w:p w14:paraId="34BBBAEF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01733E6B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5D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319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22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60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2F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D6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DF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9E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50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B95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72" w:type="dxa"/>
            <w:vAlign w:val="center"/>
            <w:hideMark/>
          </w:tcPr>
          <w:p w14:paraId="7191CD05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6AC2730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D4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0AAC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4A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DC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C9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6A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9C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3D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B2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DE0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72" w:type="dxa"/>
            <w:vAlign w:val="center"/>
            <w:hideMark/>
          </w:tcPr>
          <w:p w14:paraId="02684F05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24EA9AA3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B5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A6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DE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9E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D5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65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B0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66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D78C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5EAC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72" w:type="dxa"/>
            <w:vAlign w:val="center"/>
            <w:hideMark/>
          </w:tcPr>
          <w:p w14:paraId="525BC03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67BC9A6C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4B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7E7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1E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68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F3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D36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99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20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1A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60D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372" w:type="dxa"/>
            <w:vAlign w:val="center"/>
            <w:hideMark/>
          </w:tcPr>
          <w:p w14:paraId="74331BC0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61BACF3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CD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D678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32B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FD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F1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F5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0D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93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E6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CA4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72" w:type="dxa"/>
            <w:vAlign w:val="center"/>
            <w:hideMark/>
          </w:tcPr>
          <w:p w14:paraId="7B9DF70D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CC7A3D1" w14:textId="77777777" w:rsidTr="009F7F7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D074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B474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67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24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FD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9C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FC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34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43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D8B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72" w:type="dxa"/>
            <w:vAlign w:val="center"/>
            <w:hideMark/>
          </w:tcPr>
          <w:p w14:paraId="1C3372CB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7DC308A7" w14:textId="77777777" w:rsidTr="009F7F7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379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6E4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99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71F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2C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402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F0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77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F17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648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72" w:type="dxa"/>
            <w:vAlign w:val="center"/>
            <w:hideMark/>
          </w:tcPr>
          <w:p w14:paraId="775E7532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7F" w:rsidRPr="009F7F7F" w14:paraId="2EF1225A" w14:textId="77777777" w:rsidTr="009F7F7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FFADC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9E11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B58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58288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84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701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5DA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7A5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A8D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340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116E" w14:textId="77777777" w:rsidR="009F7F7F" w:rsidRPr="009F7F7F" w:rsidRDefault="009F7F7F" w:rsidP="009F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72" w:type="dxa"/>
            <w:vAlign w:val="center"/>
            <w:hideMark/>
          </w:tcPr>
          <w:p w14:paraId="3F655EC3" w14:textId="77777777" w:rsidR="009F7F7F" w:rsidRPr="009F7F7F" w:rsidRDefault="009F7F7F" w:rsidP="009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FB202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1E2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B5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4927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256F" w14:textId="77777777" w:rsidR="00C73D9E" w:rsidRDefault="00C73D9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49D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9" w:type="dxa"/>
        <w:tblInd w:w="93" w:type="dxa"/>
        <w:tblLook w:val="04A0" w:firstRow="1" w:lastRow="0" w:firstColumn="1" w:lastColumn="0" w:noHBand="0" w:noVBand="1"/>
      </w:tblPr>
      <w:tblGrid>
        <w:gridCol w:w="700"/>
        <w:gridCol w:w="2434"/>
        <w:gridCol w:w="874"/>
        <w:gridCol w:w="402"/>
        <w:gridCol w:w="1417"/>
        <w:gridCol w:w="1622"/>
        <w:gridCol w:w="1260"/>
        <w:gridCol w:w="237"/>
        <w:gridCol w:w="1123"/>
        <w:gridCol w:w="294"/>
        <w:gridCol w:w="1418"/>
        <w:gridCol w:w="1268"/>
        <w:gridCol w:w="1420"/>
      </w:tblGrid>
      <w:tr w:rsidR="00F753F0" w:rsidRPr="00F753F0" w14:paraId="1FC8CCC2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A6A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4D4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73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CF4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82B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70E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15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D46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76A4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DB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F753F0" w:rsidRPr="00F753F0" w14:paraId="4FE2151E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1AE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88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630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632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09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ADF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62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4E2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63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C82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F0" w:rsidRPr="00F753F0" w14:paraId="0F22A574" w14:textId="77777777" w:rsidTr="00DE0109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FB16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701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D4E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7F0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1A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95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5E5B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F6B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4D9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5E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F0" w:rsidRPr="00F753F0" w14:paraId="1CD4B989" w14:textId="77777777" w:rsidTr="00DE0109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1FA6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222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F8C0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BA2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268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8388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B47F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5FE7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ECD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30E3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 к</w:t>
            </w:r>
          </w:p>
        </w:tc>
      </w:tr>
      <w:tr w:rsidR="00F753F0" w:rsidRPr="00F753F0" w14:paraId="17969F44" w14:textId="77777777" w:rsidTr="00DE0109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6BA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9A7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F603" w14:textId="77777777" w:rsidR="00F753F0" w:rsidRPr="00F753F0" w:rsidRDefault="00F753F0" w:rsidP="00DE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887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2020 к              9 мес. 2021, %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3F9A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320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64F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01.01.21,</w:t>
            </w:r>
          </w:p>
        </w:tc>
      </w:tr>
      <w:tr w:rsidR="00F753F0" w:rsidRPr="00F753F0" w14:paraId="59FF76C3" w14:textId="77777777" w:rsidTr="00DE0109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C27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8B24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563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2020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794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2021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A8791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FA489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F3F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F63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753F0" w:rsidRPr="00F753F0" w14:paraId="48C90CB8" w14:textId="77777777" w:rsidTr="00DE0109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0330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314F1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7267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4114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99AE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1BF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4F6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075A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A9E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6731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753F0" w:rsidRPr="00F753F0" w14:paraId="6BD5B92F" w14:textId="77777777" w:rsidTr="00DE0109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DBD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922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7354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12E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ED0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02B1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F8E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911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6EB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B3D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753F0" w:rsidRPr="00F753F0" w14:paraId="66A46CFF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2D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2C9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53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EC2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ED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BD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26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45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82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954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753F0" w:rsidRPr="00F753F0" w14:paraId="5F68D978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E0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8930F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1F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614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7D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65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1A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66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520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650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F753F0" w:rsidRPr="00F753F0" w14:paraId="3327EE3D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A3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9662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35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72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63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90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C9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2B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AE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EF5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753F0" w:rsidRPr="00F753F0" w14:paraId="583C883D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EA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BA87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E0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5D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E9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C8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A1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E8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B6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981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753F0" w:rsidRPr="00F753F0" w14:paraId="0A7D6497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CE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781A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56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A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39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C6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D8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DD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88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C3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753F0" w:rsidRPr="00F753F0" w14:paraId="678FF22F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E5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8C3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FD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D7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C9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03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06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66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F9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33D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753F0" w:rsidRPr="00F753F0" w14:paraId="77AD9214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A9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68F6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64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0F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D0E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C1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61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D3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0F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0085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F753F0" w:rsidRPr="00F753F0" w14:paraId="01663163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F3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FF9B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E3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DD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EB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73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1D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15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89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8BA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F753F0" w:rsidRPr="00F753F0" w14:paraId="6D2DE4D3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5A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1BB2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C8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29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2EA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B8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7E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BA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60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90AB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F753F0" w:rsidRPr="00F753F0" w14:paraId="7F705465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FA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72CA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08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92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3A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0C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8F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2A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ED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192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F753F0" w:rsidRPr="00F753F0" w14:paraId="0E698ECE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55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CF33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D2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08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68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24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36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95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2A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C90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753F0" w:rsidRPr="00F753F0" w14:paraId="3B9F3E3D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63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DA5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EC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67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1F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22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20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84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29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E60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F753F0" w:rsidRPr="00F753F0" w14:paraId="22D07221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8D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9D44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3C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CC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1A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5E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64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E96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15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937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F753F0" w:rsidRPr="00F753F0" w14:paraId="3FE3EF3A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1D2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223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E4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60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C46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E0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29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44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48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A3C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753F0" w:rsidRPr="00F753F0" w14:paraId="4EEA4C67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24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105D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90F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62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0F9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58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85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4D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8B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4DB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F753F0" w:rsidRPr="00F753F0" w14:paraId="496241A5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1B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CCBA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6D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C5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7D5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26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E53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AA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9C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C2E8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F753F0" w:rsidRPr="00F753F0" w14:paraId="54F283E2" w14:textId="77777777" w:rsidTr="00DE0109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24C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4F05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36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F1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EF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2D21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310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21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28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1A4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753F0" w:rsidRPr="00F753F0" w14:paraId="260A627D" w14:textId="77777777" w:rsidTr="00DE0109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57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54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E7B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7C6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0C5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73E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88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774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528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F762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F753F0" w:rsidRPr="00F753F0" w14:paraId="3166AAE9" w14:textId="77777777" w:rsidTr="00DE0109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20DC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94C1" w14:textId="77777777" w:rsidR="00F753F0" w:rsidRPr="00F753F0" w:rsidRDefault="00F753F0" w:rsidP="00F7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B1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0E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13747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B1A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53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7D8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C6C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27D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0BA7" w14:textId="77777777" w:rsidR="00F753F0" w:rsidRPr="00F753F0" w:rsidRDefault="00F753F0" w:rsidP="00F7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14:paraId="42BCA29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511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02645" w14:textId="77777777" w:rsidR="00555B10" w:rsidRDefault="00555B10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2088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E9BE1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E95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B04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8A4A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tblInd w:w="-34" w:type="dxa"/>
        <w:tblLook w:val="04A0" w:firstRow="1" w:lastRow="0" w:firstColumn="1" w:lastColumn="0" w:noHBand="0" w:noVBand="1"/>
      </w:tblPr>
      <w:tblGrid>
        <w:gridCol w:w="568"/>
        <w:gridCol w:w="2419"/>
        <w:gridCol w:w="2420"/>
        <w:gridCol w:w="2420"/>
        <w:gridCol w:w="2740"/>
        <w:gridCol w:w="2460"/>
        <w:gridCol w:w="2460"/>
      </w:tblGrid>
      <w:tr w:rsidR="00555B10" w:rsidRPr="00555B10" w14:paraId="40FBCEDA" w14:textId="77777777" w:rsidTr="00555B1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7CBE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89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0D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29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CE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120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F77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555B10" w:rsidRPr="00555B10" w14:paraId="7C714CC3" w14:textId="77777777" w:rsidTr="00555B1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AFF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E6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C6A7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5F7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1A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368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D07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B10" w:rsidRPr="00555B10" w14:paraId="06C7CA77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006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415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AD6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F3B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BF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17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BF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B10" w:rsidRPr="00555B10" w14:paraId="03B47E2E" w14:textId="77777777" w:rsidTr="00555B10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E3F7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3F1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3BD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06E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0841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4FE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760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55B10" w:rsidRPr="00555B10" w14:paraId="0B72CF67" w14:textId="77777777" w:rsidTr="00555B1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4E7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844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61387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C7F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 2021 года к </w:t>
            </w: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2020 года, %</w:t>
            </w: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EF6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555B10" w:rsidRPr="00555B10" w14:paraId="02458CEA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5E49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F56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4E626E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2E7C9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22CAFB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1EB88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B10" w:rsidRPr="00555B10" w14:paraId="7CBB4F8A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8B9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8ACE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C9BF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2020 года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4DC0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2021 года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A7C6A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3DB28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B10" w:rsidRPr="00555B10" w14:paraId="2CC07B76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624F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503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9D7FA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F64EB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F4FB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9F6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2020 года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2BA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2021 года</w:t>
            </w:r>
          </w:p>
        </w:tc>
      </w:tr>
      <w:tr w:rsidR="00555B10" w:rsidRPr="00555B10" w14:paraId="0E1A39DB" w14:textId="77777777" w:rsidTr="00555B10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36E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4DD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5E4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27C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D3A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130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3EF2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55B10" w:rsidRPr="00555B10" w14:paraId="34ABC376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11D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951C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94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43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CB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CA8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32B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555B10" w:rsidRPr="00555B10" w14:paraId="7A99B87A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5D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0580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96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75F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7C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FBE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5C8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555B10" w:rsidRPr="00555B10" w14:paraId="0DD43D59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FD0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833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68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0DE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4B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813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6A2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555B10" w:rsidRPr="00555B10" w14:paraId="0FFD99A7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C2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3ABF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35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81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03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250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33DE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55B10" w:rsidRPr="00555B10" w14:paraId="13B8A800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28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6A4C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F0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87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60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653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880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555B10" w:rsidRPr="00555B10" w14:paraId="18DADA8E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CAD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06EB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FE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84E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91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B557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C9D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55B10" w:rsidRPr="00555B10" w14:paraId="7ED6E191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BD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D70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AE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4D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47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E96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4D3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555B10" w:rsidRPr="00555B10" w14:paraId="3ADB613F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1A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2F2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49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A2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0C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7B1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406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555B10" w:rsidRPr="00555B10" w14:paraId="12166EE5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FB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2A1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D9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C8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F1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3D3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18E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555B10" w:rsidRPr="00555B10" w14:paraId="776FA946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40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C93A0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07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DC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6A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8DE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3547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555B10" w:rsidRPr="00555B10" w14:paraId="14254415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36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F14E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AD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4AE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CD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316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8E8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555B10" w:rsidRPr="00555B10" w14:paraId="5F029CEA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33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105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BE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0D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67D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D49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04D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555B10" w:rsidRPr="00555B10" w14:paraId="4255DC1F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8C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10ED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B0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51F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99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2E0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371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555B10" w:rsidRPr="00555B10" w14:paraId="4232FDC6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73A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4760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FDD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A3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CFE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FF6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2F6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555B10" w:rsidRPr="00555B10" w14:paraId="75898ADE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4B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1E92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93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248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51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27E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54C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555B10" w:rsidRPr="00555B10" w14:paraId="2E488722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D6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5B3D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1B0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E3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C6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2DF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E2F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555B10" w:rsidRPr="00555B10" w14:paraId="593A8BE2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5ED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3F05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5F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E3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FE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FD7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C30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555B10" w:rsidRPr="00555B10" w14:paraId="405179E0" w14:textId="77777777" w:rsidTr="00555B10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5D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37C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D56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EA9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AE1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D080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9484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555B10" w:rsidRPr="00555B10" w14:paraId="4248B9B9" w14:textId="77777777" w:rsidTr="00555B10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4BD6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12D4" w14:textId="77777777" w:rsidR="00555B10" w:rsidRPr="00555B10" w:rsidRDefault="00555B10" w:rsidP="0055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0CB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16288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D85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17293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83C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5572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D37A" w14:textId="77777777" w:rsidR="00555B10" w:rsidRPr="00555B10" w:rsidRDefault="00555B10" w:rsidP="0055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</w:tr>
    </w:tbl>
    <w:p w14:paraId="1FF0982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AEDA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9" w:type="dxa"/>
        <w:tblInd w:w="-176" w:type="dxa"/>
        <w:tblLook w:val="04A0" w:firstRow="1" w:lastRow="0" w:firstColumn="1" w:lastColumn="0" w:noHBand="0" w:noVBand="1"/>
      </w:tblPr>
      <w:tblGrid>
        <w:gridCol w:w="568"/>
        <w:gridCol w:w="2463"/>
        <w:gridCol w:w="1056"/>
        <w:gridCol w:w="1056"/>
        <w:gridCol w:w="1056"/>
        <w:gridCol w:w="1116"/>
        <w:gridCol w:w="1116"/>
        <w:gridCol w:w="1056"/>
        <w:gridCol w:w="1056"/>
        <w:gridCol w:w="1056"/>
        <w:gridCol w:w="1540"/>
        <w:gridCol w:w="1600"/>
      </w:tblGrid>
      <w:tr w:rsidR="009579FB" w:rsidRPr="009579FB" w14:paraId="54839051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24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7B3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52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EC1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B6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23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E4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15D2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3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81C0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95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CF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9579FB" w:rsidRPr="009579FB" w14:paraId="663999FF" w14:textId="77777777" w:rsidTr="009579F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A4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24E0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43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13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16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6C0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EA3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27E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D36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0F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9C6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F6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FB" w:rsidRPr="009579FB" w14:paraId="5616B75D" w14:textId="77777777" w:rsidTr="009579FB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71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C9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FF7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66A2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104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9F6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57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358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8A3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4F7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C6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16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FB" w:rsidRPr="009579FB" w14:paraId="5FF0FEDA" w14:textId="77777777" w:rsidTr="009579F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4C0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12F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C81A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796C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9579FB" w:rsidRPr="009579FB" w14:paraId="4470416A" w14:textId="77777777" w:rsidTr="002106B1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DCD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0B2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0DE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CB0A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F55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95B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к</w:t>
            </w:r>
          </w:p>
          <w:p w14:paraId="1D038849" w14:textId="2E26F5E9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01.10.20,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84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 к</w:t>
            </w:r>
          </w:p>
          <w:p w14:paraId="2B901A29" w14:textId="4322746C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01.01.21,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4ED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686D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5E6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B39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B96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9579FB" w:rsidRPr="009579FB" w14:paraId="39180FD0" w14:textId="77777777" w:rsidTr="002106B1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64AA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897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DE3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D0F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181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7F46" w14:textId="484EC399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42" w14:textId="417F65CC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F81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98D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68E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01.10.21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2EB58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B5EFE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9FB" w:rsidRPr="009579FB" w14:paraId="79532143" w14:textId="77777777" w:rsidTr="009579F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7AB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F51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F36E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A3C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8A1F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7AA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67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2162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7164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B310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D5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01.10.21-01.10.20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51AD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01.10.21-01.01.21</w:t>
            </w:r>
          </w:p>
        </w:tc>
      </w:tr>
      <w:tr w:rsidR="009579FB" w:rsidRPr="009579FB" w14:paraId="743A91B5" w14:textId="77777777" w:rsidTr="009579F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F6E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0DF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242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D63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F07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D6D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556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7C0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30B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FFA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5AD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303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579FB" w:rsidRPr="009579FB" w14:paraId="38D8F30D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3E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454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D7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BD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A1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02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497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CC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4F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AC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89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A25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-1,56</w:t>
            </w:r>
          </w:p>
        </w:tc>
      </w:tr>
      <w:tr w:rsidR="009579FB" w:rsidRPr="009579FB" w14:paraId="42B9F13F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9C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97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E8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57A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05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99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C0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48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17B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5D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9B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D22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-2,65</w:t>
            </w:r>
          </w:p>
        </w:tc>
      </w:tr>
      <w:tr w:rsidR="009579FB" w:rsidRPr="009579FB" w14:paraId="5802568E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31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896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F4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10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3A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E0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0C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BD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1D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A2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FF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0379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-0,59</w:t>
            </w:r>
          </w:p>
        </w:tc>
      </w:tr>
      <w:tr w:rsidR="009579FB" w:rsidRPr="009579FB" w14:paraId="22CC0B63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B3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B184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89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56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50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62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83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8F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7B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88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37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579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-4,75</w:t>
            </w:r>
          </w:p>
        </w:tc>
      </w:tr>
      <w:tr w:rsidR="009579FB" w:rsidRPr="009579FB" w14:paraId="366F7179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74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F1E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0F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5F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D0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11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9D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C7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77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1F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B6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438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-1,99</w:t>
            </w:r>
          </w:p>
        </w:tc>
      </w:tr>
      <w:tr w:rsidR="009579FB" w:rsidRPr="009579FB" w14:paraId="52A04AF5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EF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CB9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17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9CE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5C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D5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74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01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955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AE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48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ECB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</w:tr>
      <w:tr w:rsidR="009579FB" w:rsidRPr="009579FB" w14:paraId="417D72C1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53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601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CF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404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4D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3F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44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EA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F7C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75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DA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1EB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-0,90</w:t>
            </w:r>
          </w:p>
        </w:tc>
      </w:tr>
      <w:tr w:rsidR="009579FB" w:rsidRPr="009579FB" w14:paraId="0E1D586A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DE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47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7C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4A8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0F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D7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1D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DF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779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03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76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D02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-0,95</w:t>
            </w:r>
          </w:p>
        </w:tc>
      </w:tr>
      <w:tr w:rsidR="009579FB" w:rsidRPr="009579FB" w14:paraId="591EB89E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1B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7C1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24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8BA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DE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89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D9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D4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71A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26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DB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860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-2,33</w:t>
            </w:r>
          </w:p>
        </w:tc>
      </w:tr>
      <w:tr w:rsidR="009579FB" w:rsidRPr="009579FB" w14:paraId="654A290A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09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681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EC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37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F2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0C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7F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90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A2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E1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3D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BEFC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-1,05</w:t>
            </w:r>
          </w:p>
        </w:tc>
      </w:tr>
      <w:tr w:rsidR="009579FB" w:rsidRPr="009579FB" w14:paraId="2D753620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D1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068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78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38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0B8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7DA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A1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C8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87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15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1D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A3A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-2,66</w:t>
            </w:r>
          </w:p>
        </w:tc>
      </w:tr>
      <w:tr w:rsidR="009579FB" w:rsidRPr="009579FB" w14:paraId="1F24C5D5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CE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4D5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F3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7E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9C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35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07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D2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30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2E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C2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5EF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-2,09</w:t>
            </w:r>
          </w:p>
        </w:tc>
      </w:tr>
      <w:tr w:rsidR="009579FB" w:rsidRPr="009579FB" w14:paraId="7F8BA72D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44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E9A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366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BED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04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23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DB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9D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9B3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AA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00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5CCB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-0,50</w:t>
            </w:r>
          </w:p>
        </w:tc>
      </w:tr>
      <w:tr w:rsidR="009579FB" w:rsidRPr="009579FB" w14:paraId="29788ADE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E9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ADA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16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FA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23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77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D4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A8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3E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1D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66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E15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-1,75</w:t>
            </w:r>
          </w:p>
        </w:tc>
      </w:tr>
      <w:tr w:rsidR="009579FB" w:rsidRPr="009579FB" w14:paraId="291D9DE4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C5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FDF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36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F8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17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6E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AE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65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36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DD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E7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1EA1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-1,18</w:t>
            </w:r>
          </w:p>
        </w:tc>
      </w:tr>
      <w:tr w:rsidR="009579FB" w:rsidRPr="009579FB" w14:paraId="47326DEE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62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9367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57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B846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A7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FB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9D7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7A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A85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5C9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B4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67D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-1,49</w:t>
            </w:r>
          </w:p>
        </w:tc>
      </w:tr>
      <w:tr w:rsidR="009579FB" w:rsidRPr="009579FB" w14:paraId="76FCCF34" w14:textId="77777777" w:rsidTr="009579F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55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25B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EEC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C09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87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D3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46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DE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0347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0E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BC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CAD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-1,15</w:t>
            </w:r>
          </w:p>
        </w:tc>
      </w:tr>
      <w:tr w:rsidR="009579FB" w:rsidRPr="009579FB" w14:paraId="257916B7" w14:textId="77777777" w:rsidTr="009579F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F1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EB7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64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04B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82A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6E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47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594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443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B7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FE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E2F0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-2,38</w:t>
            </w:r>
          </w:p>
        </w:tc>
      </w:tr>
      <w:tr w:rsidR="009579FB" w:rsidRPr="009579FB" w14:paraId="468ABCD3" w14:textId="77777777" w:rsidTr="009579F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28BF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CFF0E" w14:textId="77777777" w:rsidR="009579FB" w:rsidRPr="009579FB" w:rsidRDefault="009579FB" w:rsidP="0095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37E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5695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22085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BD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53047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F6D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B48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C5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6AB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901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102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D4CF" w14:textId="77777777" w:rsidR="009579FB" w:rsidRPr="009579FB" w:rsidRDefault="009579FB" w:rsidP="009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-2,40</w:t>
            </w:r>
          </w:p>
        </w:tc>
      </w:tr>
    </w:tbl>
    <w:p w14:paraId="53EAEF40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5F49" w14:textId="744CF2F6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0C62C" w14:textId="5514536E" w:rsidR="00C5210E" w:rsidRDefault="009579F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D19262" wp14:editId="78A3F754">
            <wp:extent cx="9083382" cy="6248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90201" cy="62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7134" w14:textId="77777777" w:rsidR="00C5210E" w:rsidRPr="0085671A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14:paraId="4556D552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42872D" w14:textId="57C68FA2" w:rsidR="00C5210E" w:rsidRPr="00F35072" w:rsidRDefault="009579F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10BAC" wp14:editId="2915403C">
            <wp:extent cx="9263028" cy="6181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69201" cy="61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F46C" w14:textId="77777777" w:rsidR="005D0C9C" w:rsidRDefault="005D0C9C">
      <w:pPr>
        <w:spacing w:after="0" w:line="240" w:lineRule="auto"/>
      </w:pPr>
      <w:r>
        <w:separator/>
      </w:r>
    </w:p>
  </w:endnote>
  <w:endnote w:type="continuationSeparator" w:id="0">
    <w:p w14:paraId="70F0E819" w14:textId="77777777" w:rsidR="005D0C9C" w:rsidRDefault="005D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4943" w14:textId="77777777" w:rsidR="005D0C9C" w:rsidRDefault="005D0C9C">
      <w:pPr>
        <w:spacing w:after="0" w:line="240" w:lineRule="auto"/>
      </w:pPr>
      <w:r>
        <w:separator/>
      </w:r>
    </w:p>
  </w:footnote>
  <w:footnote w:type="continuationSeparator" w:id="0">
    <w:p w14:paraId="69D45098" w14:textId="77777777" w:rsidR="005D0C9C" w:rsidRDefault="005D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358B" w14:textId="77777777" w:rsidR="00F753F0" w:rsidRDefault="00F753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FAE36B" w14:textId="77777777" w:rsidR="00F753F0" w:rsidRDefault="00F753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30DB" w14:textId="77777777" w:rsidR="00F753F0" w:rsidRDefault="00F753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6095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F421" w14:textId="77777777" w:rsidR="00F753F0" w:rsidRDefault="00F753F0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41"/>
  </w:num>
  <w:num w:numId="12">
    <w:abstractNumId w:val="23"/>
  </w:num>
  <w:num w:numId="13">
    <w:abstractNumId w:val="14"/>
  </w:num>
  <w:num w:numId="14">
    <w:abstractNumId w:val="39"/>
  </w:num>
  <w:num w:numId="15">
    <w:abstractNumId w:val="4"/>
  </w:num>
  <w:num w:numId="16">
    <w:abstractNumId w:val="35"/>
  </w:num>
  <w:num w:numId="17">
    <w:abstractNumId w:val="1"/>
  </w:num>
  <w:num w:numId="18">
    <w:abstractNumId w:val="29"/>
  </w:num>
  <w:num w:numId="19">
    <w:abstractNumId w:val="40"/>
  </w:num>
  <w:num w:numId="20">
    <w:abstractNumId w:val="28"/>
  </w:num>
  <w:num w:numId="21">
    <w:abstractNumId w:val="13"/>
  </w:num>
  <w:num w:numId="22">
    <w:abstractNumId w:val="21"/>
  </w:num>
  <w:num w:numId="23">
    <w:abstractNumId w:val="38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17"/>
  </w:num>
  <w:num w:numId="29">
    <w:abstractNumId w:val="18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25"/>
  </w:num>
  <w:num w:numId="35">
    <w:abstractNumId w:val="44"/>
  </w:num>
  <w:num w:numId="36">
    <w:abstractNumId w:val="36"/>
  </w:num>
  <w:num w:numId="37">
    <w:abstractNumId w:val="34"/>
  </w:num>
  <w:num w:numId="38">
    <w:abstractNumId w:val="43"/>
  </w:num>
  <w:num w:numId="39">
    <w:abstractNumId w:val="12"/>
  </w:num>
  <w:num w:numId="40">
    <w:abstractNumId w:val="10"/>
  </w:num>
  <w:num w:numId="41">
    <w:abstractNumId w:val="8"/>
  </w:num>
  <w:num w:numId="42">
    <w:abstractNumId w:val="31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07393"/>
    <w:rsid w:val="0001053C"/>
    <w:rsid w:val="00011017"/>
    <w:rsid w:val="000121B2"/>
    <w:rsid w:val="00012231"/>
    <w:rsid w:val="000136D7"/>
    <w:rsid w:val="0001666A"/>
    <w:rsid w:val="0002033F"/>
    <w:rsid w:val="000208A6"/>
    <w:rsid w:val="0002272C"/>
    <w:rsid w:val="00022C84"/>
    <w:rsid w:val="0002345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4CDE"/>
    <w:rsid w:val="00035AFA"/>
    <w:rsid w:val="00036C27"/>
    <w:rsid w:val="00037342"/>
    <w:rsid w:val="00037A73"/>
    <w:rsid w:val="00037ECD"/>
    <w:rsid w:val="000403E8"/>
    <w:rsid w:val="0004047C"/>
    <w:rsid w:val="00040B9E"/>
    <w:rsid w:val="000410DD"/>
    <w:rsid w:val="000430E8"/>
    <w:rsid w:val="00043DAA"/>
    <w:rsid w:val="00043F26"/>
    <w:rsid w:val="0004430A"/>
    <w:rsid w:val="00044513"/>
    <w:rsid w:val="00045C75"/>
    <w:rsid w:val="00051C36"/>
    <w:rsid w:val="00051E8C"/>
    <w:rsid w:val="00052134"/>
    <w:rsid w:val="00054795"/>
    <w:rsid w:val="000561BA"/>
    <w:rsid w:val="00056347"/>
    <w:rsid w:val="00062013"/>
    <w:rsid w:val="00063496"/>
    <w:rsid w:val="00063795"/>
    <w:rsid w:val="00063A23"/>
    <w:rsid w:val="00064039"/>
    <w:rsid w:val="00065BB6"/>
    <w:rsid w:val="00065BFF"/>
    <w:rsid w:val="00066BFE"/>
    <w:rsid w:val="00071375"/>
    <w:rsid w:val="000728F7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CCC"/>
    <w:rsid w:val="000865BE"/>
    <w:rsid w:val="00090955"/>
    <w:rsid w:val="00090B48"/>
    <w:rsid w:val="00090DA2"/>
    <w:rsid w:val="00091EFA"/>
    <w:rsid w:val="00094222"/>
    <w:rsid w:val="00096B91"/>
    <w:rsid w:val="000A0534"/>
    <w:rsid w:val="000A283D"/>
    <w:rsid w:val="000A652A"/>
    <w:rsid w:val="000A6A58"/>
    <w:rsid w:val="000A6D38"/>
    <w:rsid w:val="000B2BFA"/>
    <w:rsid w:val="000C1A51"/>
    <w:rsid w:val="000C1DA5"/>
    <w:rsid w:val="000C2F23"/>
    <w:rsid w:val="000C4B0E"/>
    <w:rsid w:val="000D2A64"/>
    <w:rsid w:val="000D2F0E"/>
    <w:rsid w:val="000D3398"/>
    <w:rsid w:val="000D3BB6"/>
    <w:rsid w:val="000D3F2A"/>
    <w:rsid w:val="000D413B"/>
    <w:rsid w:val="000D44A2"/>
    <w:rsid w:val="000D7C9B"/>
    <w:rsid w:val="000D7FEF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63B1"/>
    <w:rsid w:val="000F7464"/>
    <w:rsid w:val="000F7968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70C8"/>
    <w:rsid w:val="00127391"/>
    <w:rsid w:val="00133BE1"/>
    <w:rsid w:val="001348B4"/>
    <w:rsid w:val="0013495B"/>
    <w:rsid w:val="00140F7B"/>
    <w:rsid w:val="00141B07"/>
    <w:rsid w:val="001428F8"/>
    <w:rsid w:val="00143B20"/>
    <w:rsid w:val="001472D4"/>
    <w:rsid w:val="00150399"/>
    <w:rsid w:val="00152324"/>
    <w:rsid w:val="001524DA"/>
    <w:rsid w:val="00152B4B"/>
    <w:rsid w:val="00153F5A"/>
    <w:rsid w:val="0016011F"/>
    <w:rsid w:val="0016034F"/>
    <w:rsid w:val="001613B3"/>
    <w:rsid w:val="0016220B"/>
    <w:rsid w:val="00163FF4"/>
    <w:rsid w:val="00165401"/>
    <w:rsid w:val="00166863"/>
    <w:rsid w:val="00171AEB"/>
    <w:rsid w:val="0017484A"/>
    <w:rsid w:val="001753AF"/>
    <w:rsid w:val="0017560F"/>
    <w:rsid w:val="00176F17"/>
    <w:rsid w:val="00180B0C"/>
    <w:rsid w:val="00181F92"/>
    <w:rsid w:val="00183C76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22D5"/>
    <w:rsid w:val="001A3DA9"/>
    <w:rsid w:val="001A4DB1"/>
    <w:rsid w:val="001B014A"/>
    <w:rsid w:val="001B1D88"/>
    <w:rsid w:val="001B4482"/>
    <w:rsid w:val="001B4AEE"/>
    <w:rsid w:val="001B4F2A"/>
    <w:rsid w:val="001C0CA9"/>
    <w:rsid w:val="001C27D7"/>
    <w:rsid w:val="001C2908"/>
    <w:rsid w:val="001C2DEC"/>
    <w:rsid w:val="001C370A"/>
    <w:rsid w:val="001C586D"/>
    <w:rsid w:val="001C62D8"/>
    <w:rsid w:val="001C6D91"/>
    <w:rsid w:val="001C7845"/>
    <w:rsid w:val="001D00FD"/>
    <w:rsid w:val="001D0E9A"/>
    <w:rsid w:val="001D1758"/>
    <w:rsid w:val="001D5771"/>
    <w:rsid w:val="001D6B44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2995"/>
    <w:rsid w:val="001F333A"/>
    <w:rsid w:val="001F3833"/>
    <w:rsid w:val="001F40E4"/>
    <w:rsid w:val="001F48F6"/>
    <w:rsid w:val="001F5D4E"/>
    <w:rsid w:val="001F6C76"/>
    <w:rsid w:val="001F7095"/>
    <w:rsid w:val="001F7C18"/>
    <w:rsid w:val="002038F3"/>
    <w:rsid w:val="002078BA"/>
    <w:rsid w:val="002079B4"/>
    <w:rsid w:val="0021034C"/>
    <w:rsid w:val="002111F1"/>
    <w:rsid w:val="0021164A"/>
    <w:rsid w:val="00211EE3"/>
    <w:rsid w:val="00213809"/>
    <w:rsid w:val="00213882"/>
    <w:rsid w:val="00213F7C"/>
    <w:rsid w:val="00214482"/>
    <w:rsid w:val="00214C45"/>
    <w:rsid w:val="00214CA5"/>
    <w:rsid w:val="002214C4"/>
    <w:rsid w:val="002220C1"/>
    <w:rsid w:val="00223770"/>
    <w:rsid w:val="00223B6F"/>
    <w:rsid w:val="00224E38"/>
    <w:rsid w:val="00224FCD"/>
    <w:rsid w:val="00225A12"/>
    <w:rsid w:val="00226624"/>
    <w:rsid w:val="00227FAD"/>
    <w:rsid w:val="00230A11"/>
    <w:rsid w:val="002317EF"/>
    <w:rsid w:val="002319D2"/>
    <w:rsid w:val="00232215"/>
    <w:rsid w:val="002322D4"/>
    <w:rsid w:val="0023303D"/>
    <w:rsid w:val="00233348"/>
    <w:rsid w:val="00234919"/>
    <w:rsid w:val="00235633"/>
    <w:rsid w:val="00237C41"/>
    <w:rsid w:val="002433FB"/>
    <w:rsid w:val="00243AC7"/>
    <w:rsid w:val="002441CA"/>
    <w:rsid w:val="00245867"/>
    <w:rsid w:val="00245DE5"/>
    <w:rsid w:val="00246673"/>
    <w:rsid w:val="00246B0F"/>
    <w:rsid w:val="00251246"/>
    <w:rsid w:val="002518EF"/>
    <w:rsid w:val="00251E91"/>
    <w:rsid w:val="00254BD4"/>
    <w:rsid w:val="0025650C"/>
    <w:rsid w:val="00256B3F"/>
    <w:rsid w:val="00256B5C"/>
    <w:rsid w:val="0025752C"/>
    <w:rsid w:val="00257B33"/>
    <w:rsid w:val="002605FB"/>
    <w:rsid w:val="002617FF"/>
    <w:rsid w:val="002629A3"/>
    <w:rsid w:val="00262A4E"/>
    <w:rsid w:val="00262D32"/>
    <w:rsid w:val="00266089"/>
    <w:rsid w:val="002662A6"/>
    <w:rsid w:val="002668DC"/>
    <w:rsid w:val="002705FC"/>
    <w:rsid w:val="00271948"/>
    <w:rsid w:val="00272DD6"/>
    <w:rsid w:val="002742A4"/>
    <w:rsid w:val="00274854"/>
    <w:rsid w:val="00274EE2"/>
    <w:rsid w:val="00276E61"/>
    <w:rsid w:val="0028014F"/>
    <w:rsid w:val="002811C4"/>
    <w:rsid w:val="00282567"/>
    <w:rsid w:val="00282B7D"/>
    <w:rsid w:val="0028561D"/>
    <w:rsid w:val="00285D3C"/>
    <w:rsid w:val="0028663E"/>
    <w:rsid w:val="00291692"/>
    <w:rsid w:val="00291FC0"/>
    <w:rsid w:val="00294225"/>
    <w:rsid w:val="002976AA"/>
    <w:rsid w:val="00297A97"/>
    <w:rsid w:val="002A1948"/>
    <w:rsid w:val="002A2D69"/>
    <w:rsid w:val="002A31C3"/>
    <w:rsid w:val="002A34EE"/>
    <w:rsid w:val="002A407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B5CAD"/>
    <w:rsid w:val="002B6831"/>
    <w:rsid w:val="002C071A"/>
    <w:rsid w:val="002C0EAD"/>
    <w:rsid w:val="002C3608"/>
    <w:rsid w:val="002C3E0A"/>
    <w:rsid w:val="002C4D87"/>
    <w:rsid w:val="002C6A43"/>
    <w:rsid w:val="002C716B"/>
    <w:rsid w:val="002D038A"/>
    <w:rsid w:val="002D1544"/>
    <w:rsid w:val="002D2086"/>
    <w:rsid w:val="002D3A37"/>
    <w:rsid w:val="002D402A"/>
    <w:rsid w:val="002D4F06"/>
    <w:rsid w:val="002D684D"/>
    <w:rsid w:val="002D7A0D"/>
    <w:rsid w:val="002E2231"/>
    <w:rsid w:val="002E5A08"/>
    <w:rsid w:val="002E72DB"/>
    <w:rsid w:val="002F01B7"/>
    <w:rsid w:val="002F06EC"/>
    <w:rsid w:val="002F3347"/>
    <w:rsid w:val="002F3C1E"/>
    <w:rsid w:val="002F4351"/>
    <w:rsid w:val="002F74CC"/>
    <w:rsid w:val="002F7A14"/>
    <w:rsid w:val="00302C53"/>
    <w:rsid w:val="003100D1"/>
    <w:rsid w:val="00310D85"/>
    <w:rsid w:val="00311173"/>
    <w:rsid w:val="00311C6D"/>
    <w:rsid w:val="00312505"/>
    <w:rsid w:val="00312E54"/>
    <w:rsid w:val="00312F5D"/>
    <w:rsid w:val="00312FF1"/>
    <w:rsid w:val="00313BE0"/>
    <w:rsid w:val="003147EE"/>
    <w:rsid w:val="00317912"/>
    <w:rsid w:val="0032082B"/>
    <w:rsid w:val="00326095"/>
    <w:rsid w:val="00326FA0"/>
    <w:rsid w:val="003271FE"/>
    <w:rsid w:val="00331E39"/>
    <w:rsid w:val="00331FED"/>
    <w:rsid w:val="00332E1B"/>
    <w:rsid w:val="00334013"/>
    <w:rsid w:val="00334441"/>
    <w:rsid w:val="003345A9"/>
    <w:rsid w:val="003353F6"/>
    <w:rsid w:val="00336299"/>
    <w:rsid w:val="00340B7E"/>
    <w:rsid w:val="0034187F"/>
    <w:rsid w:val="003459C1"/>
    <w:rsid w:val="00346F55"/>
    <w:rsid w:val="0034772D"/>
    <w:rsid w:val="00347E71"/>
    <w:rsid w:val="003506E0"/>
    <w:rsid w:val="0035238B"/>
    <w:rsid w:val="0035257C"/>
    <w:rsid w:val="00355C2F"/>
    <w:rsid w:val="00357016"/>
    <w:rsid w:val="003575EB"/>
    <w:rsid w:val="00363953"/>
    <w:rsid w:val="00365E65"/>
    <w:rsid w:val="0036784D"/>
    <w:rsid w:val="00367C4D"/>
    <w:rsid w:val="00370154"/>
    <w:rsid w:val="00370C62"/>
    <w:rsid w:val="00371636"/>
    <w:rsid w:val="00371AC0"/>
    <w:rsid w:val="003723A4"/>
    <w:rsid w:val="00372520"/>
    <w:rsid w:val="0037296A"/>
    <w:rsid w:val="00373D7C"/>
    <w:rsid w:val="00375EF8"/>
    <w:rsid w:val="00377A7F"/>
    <w:rsid w:val="003815B7"/>
    <w:rsid w:val="003841F3"/>
    <w:rsid w:val="00385DA6"/>
    <w:rsid w:val="003871BC"/>
    <w:rsid w:val="003905BF"/>
    <w:rsid w:val="003909A8"/>
    <w:rsid w:val="00391666"/>
    <w:rsid w:val="0039191F"/>
    <w:rsid w:val="00392432"/>
    <w:rsid w:val="003926C3"/>
    <w:rsid w:val="00395703"/>
    <w:rsid w:val="00396494"/>
    <w:rsid w:val="00396AC2"/>
    <w:rsid w:val="003A0DA8"/>
    <w:rsid w:val="003A1FE1"/>
    <w:rsid w:val="003A4FF9"/>
    <w:rsid w:val="003A5743"/>
    <w:rsid w:val="003A6C32"/>
    <w:rsid w:val="003A73B9"/>
    <w:rsid w:val="003B071C"/>
    <w:rsid w:val="003B378C"/>
    <w:rsid w:val="003B477E"/>
    <w:rsid w:val="003B47C5"/>
    <w:rsid w:val="003B5E43"/>
    <w:rsid w:val="003B605D"/>
    <w:rsid w:val="003C17A5"/>
    <w:rsid w:val="003C1C5C"/>
    <w:rsid w:val="003C248D"/>
    <w:rsid w:val="003C4B40"/>
    <w:rsid w:val="003C4B52"/>
    <w:rsid w:val="003C4C8A"/>
    <w:rsid w:val="003C66AA"/>
    <w:rsid w:val="003D3522"/>
    <w:rsid w:val="003D49E1"/>
    <w:rsid w:val="003D65D5"/>
    <w:rsid w:val="003D70EF"/>
    <w:rsid w:val="003E1617"/>
    <w:rsid w:val="003E52CB"/>
    <w:rsid w:val="003E68B1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1D9A"/>
    <w:rsid w:val="0040409E"/>
    <w:rsid w:val="004063CD"/>
    <w:rsid w:val="00406C98"/>
    <w:rsid w:val="00407AFE"/>
    <w:rsid w:val="00407C5D"/>
    <w:rsid w:val="00410492"/>
    <w:rsid w:val="00411096"/>
    <w:rsid w:val="004135D0"/>
    <w:rsid w:val="0041373B"/>
    <w:rsid w:val="00423310"/>
    <w:rsid w:val="00423DBF"/>
    <w:rsid w:val="00424CF5"/>
    <w:rsid w:val="0042544E"/>
    <w:rsid w:val="00425C01"/>
    <w:rsid w:val="004261F7"/>
    <w:rsid w:val="0042704E"/>
    <w:rsid w:val="0042789C"/>
    <w:rsid w:val="0043014E"/>
    <w:rsid w:val="0043413F"/>
    <w:rsid w:val="004348AC"/>
    <w:rsid w:val="00435ECB"/>
    <w:rsid w:val="0044037B"/>
    <w:rsid w:val="004414D0"/>
    <w:rsid w:val="004439EE"/>
    <w:rsid w:val="004443C4"/>
    <w:rsid w:val="00444ABE"/>
    <w:rsid w:val="00445A32"/>
    <w:rsid w:val="004479DF"/>
    <w:rsid w:val="0045089C"/>
    <w:rsid w:val="004511AF"/>
    <w:rsid w:val="0045142E"/>
    <w:rsid w:val="00456408"/>
    <w:rsid w:val="00456A18"/>
    <w:rsid w:val="00456A8B"/>
    <w:rsid w:val="004607D3"/>
    <w:rsid w:val="00461C4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067C"/>
    <w:rsid w:val="004806AC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5814"/>
    <w:rsid w:val="00497918"/>
    <w:rsid w:val="004A0BE6"/>
    <w:rsid w:val="004A2A65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43A5"/>
    <w:rsid w:val="004C51A2"/>
    <w:rsid w:val="004C6053"/>
    <w:rsid w:val="004C67AC"/>
    <w:rsid w:val="004D0233"/>
    <w:rsid w:val="004D5660"/>
    <w:rsid w:val="004D5907"/>
    <w:rsid w:val="004D5B82"/>
    <w:rsid w:val="004D65D0"/>
    <w:rsid w:val="004D67F9"/>
    <w:rsid w:val="004D725F"/>
    <w:rsid w:val="004D7B92"/>
    <w:rsid w:val="004E0E4D"/>
    <w:rsid w:val="004E2A13"/>
    <w:rsid w:val="004E3B05"/>
    <w:rsid w:val="004E45A3"/>
    <w:rsid w:val="004E4CB8"/>
    <w:rsid w:val="004E6AAC"/>
    <w:rsid w:val="004E7EDE"/>
    <w:rsid w:val="004F37E8"/>
    <w:rsid w:val="004F585A"/>
    <w:rsid w:val="004F5FF5"/>
    <w:rsid w:val="0050043F"/>
    <w:rsid w:val="00500642"/>
    <w:rsid w:val="00500CA9"/>
    <w:rsid w:val="005025BB"/>
    <w:rsid w:val="0050276E"/>
    <w:rsid w:val="005033A1"/>
    <w:rsid w:val="0050384E"/>
    <w:rsid w:val="00504273"/>
    <w:rsid w:val="005047F4"/>
    <w:rsid w:val="00505CB1"/>
    <w:rsid w:val="00506786"/>
    <w:rsid w:val="00506B57"/>
    <w:rsid w:val="005077E0"/>
    <w:rsid w:val="005106AA"/>
    <w:rsid w:val="00510950"/>
    <w:rsid w:val="00510FEA"/>
    <w:rsid w:val="005111CC"/>
    <w:rsid w:val="00511A4D"/>
    <w:rsid w:val="00512056"/>
    <w:rsid w:val="00512A1B"/>
    <w:rsid w:val="0051450F"/>
    <w:rsid w:val="00514C2F"/>
    <w:rsid w:val="00517B25"/>
    <w:rsid w:val="00520F2F"/>
    <w:rsid w:val="00521CC2"/>
    <w:rsid w:val="00521F21"/>
    <w:rsid w:val="00523263"/>
    <w:rsid w:val="005236B6"/>
    <w:rsid w:val="00523995"/>
    <w:rsid w:val="005249D3"/>
    <w:rsid w:val="005305E5"/>
    <w:rsid w:val="005308A1"/>
    <w:rsid w:val="005318E4"/>
    <w:rsid w:val="00531BF6"/>
    <w:rsid w:val="00532A6D"/>
    <w:rsid w:val="0053461D"/>
    <w:rsid w:val="00534847"/>
    <w:rsid w:val="00536B3F"/>
    <w:rsid w:val="00536BA6"/>
    <w:rsid w:val="005371D9"/>
    <w:rsid w:val="00540A9B"/>
    <w:rsid w:val="00540F85"/>
    <w:rsid w:val="0054178A"/>
    <w:rsid w:val="00543C11"/>
    <w:rsid w:val="0054509B"/>
    <w:rsid w:val="00545D51"/>
    <w:rsid w:val="00546C0C"/>
    <w:rsid w:val="00547584"/>
    <w:rsid w:val="0055041E"/>
    <w:rsid w:val="00551E00"/>
    <w:rsid w:val="00551FD8"/>
    <w:rsid w:val="00552EB2"/>
    <w:rsid w:val="00553F5C"/>
    <w:rsid w:val="00555B10"/>
    <w:rsid w:val="005561CF"/>
    <w:rsid w:val="00556920"/>
    <w:rsid w:val="005612F7"/>
    <w:rsid w:val="00561B99"/>
    <w:rsid w:val="0056272E"/>
    <w:rsid w:val="00564973"/>
    <w:rsid w:val="00564D1E"/>
    <w:rsid w:val="005654B7"/>
    <w:rsid w:val="005656F7"/>
    <w:rsid w:val="00570D92"/>
    <w:rsid w:val="00572223"/>
    <w:rsid w:val="00572EB4"/>
    <w:rsid w:val="005745E9"/>
    <w:rsid w:val="005751EB"/>
    <w:rsid w:val="00575E0E"/>
    <w:rsid w:val="005771CD"/>
    <w:rsid w:val="00577502"/>
    <w:rsid w:val="0057787C"/>
    <w:rsid w:val="005802DE"/>
    <w:rsid w:val="00581FD8"/>
    <w:rsid w:val="00582E0C"/>
    <w:rsid w:val="00583394"/>
    <w:rsid w:val="00585257"/>
    <w:rsid w:val="00586A30"/>
    <w:rsid w:val="0058736C"/>
    <w:rsid w:val="005903F3"/>
    <w:rsid w:val="0059042B"/>
    <w:rsid w:val="005961CD"/>
    <w:rsid w:val="00597E26"/>
    <w:rsid w:val="005A00AA"/>
    <w:rsid w:val="005A17B2"/>
    <w:rsid w:val="005A44AA"/>
    <w:rsid w:val="005A5E3F"/>
    <w:rsid w:val="005A6220"/>
    <w:rsid w:val="005A77E7"/>
    <w:rsid w:val="005B02BD"/>
    <w:rsid w:val="005B062F"/>
    <w:rsid w:val="005B0963"/>
    <w:rsid w:val="005B1ADA"/>
    <w:rsid w:val="005B390E"/>
    <w:rsid w:val="005B4C0B"/>
    <w:rsid w:val="005B4D21"/>
    <w:rsid w:val="005B5FA3"/>
    <w:rsid w:val="005B7069"/>
    <w:rsid w:val="005C06B9"/>
    <w:rsid w:val="005C1D89"/>
    <w:rsid w:val="005C352F"/>
    <w:rsid w:val="005C51C9"/>
    <w:rsid w:val="005C6C54"/>
    <w:rsid w:val="005D0C9C"/>
    <w:rsid w:val="005D11F1"/>
    <w:rsid w:val="005D1A58"/>
    <w:rsid w:val="005D2463"/>
    <w:rsid w:val="005D2988"/>
    <w:rsid w:val="005D2AC7"/>
    <w:rsid w:val="005D3549"/>
    <w:rsid w:val="005D5DCA"/>
    <w:rsid w:val="005D602A"/>
    <w:rsid w:val="005D6BBB"/>
    <w:rsid w:val="005E1BE5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5F6FD4"/>
    <w:rsid w:val="0060091F"/>
    <w:rsid w:val="00602779"/>
    <w:rsid w:val="00604E70"/>
    <w:rsid w:val="00605080"/>
    <w:rsid w:val="00607159"/>
    <w:rsid w:val="00611EC3"/>
    <w:rsid w:val="00612187"/>
    <w:rsid w:val="00613098"/>
    <w:rsid w:val="00613FDA"/>
    <w:rsid w:val="006143B8"/>
    <w:rsid w:val="00615441"/>
    <w:rsid w:val="0061724E"/>
    <w:rsid w:val="00621B37"/>
    <w:rsid w:val="006230B9"/>
    <w:rsid w:val="00623369"/>
    <w:rsid w:val="00625A7A"/>
    <w:rsid w:val="00626DF3"/>
    <w:rsid w:val="00627A28"/>
    <w:rsid w:val="00630DC6"/>
    <w:rsid w:val="0063157A"/>
    <w:rsid w:val="006327BC"/>
    <w:rsid w:val="006347AD"/>
    <w:rsid w:val="00640653"/>
    <w:rsid w:val="006406F3"/>
    <w:rsid w:val="00640A43"/>
    <w:rsid w:val="00641FEE"/>
    <w:rsid w:val="00642BE1"/>
    <w:rsid w:val="006434E0"/>
    <w:rsid w:val="00643E80"/>
    <w:rsid w:val="006442B8"/>
    <w:rsid w:val="00644F42"/>
    <w:rsid w:val="00645E49"/>
    <w:rsid w:val="006466C9"/>
    <w:rsid w:val="0065125E"/>
    <w:rsid w:val="00651938"/>
    <w:rsid w:val="0065294F"/>
    <w:rsid w:val="00653B91"/>
    <w:rsid w:val="00656B30"/>
    <w:rsid w:val="00656E75"/>
    <w:rsid w:val="00657320"/>
    <w:rsid w:val="006603E1"/>
    <w:rsid w:val="00660560"/>
    <w:rsid w:val="0066064C"/>
    <w:rsid w:val="0066151F"/>
    <w:rsid w:val="00664449"/>
    <w:rsid w:val="00665568"/>
    <w:rsid w:val="006668D9"/>
    <w:rsid w:val="00666FB2"/>
    <w:rsid w:val="00667743"/>
    <w:rsid w:val="00667B1D"/>
    <w:rsid w:val="0067143B"/>
    <w:rsid w:val="006749BE"/>
    <w:rsid w:val="00675C18"/>
    <w:rsid w:val="006818A5"/>
    <w:rsid w:val="00681C23"/>
    <w:rsid w:val="006828D5"/>
    <w:rsid w:val="00682EF5"/>
    <w:rsid w:val="00683E62"/>
    <w:rsid w:val="006862B6"/>
    <w:rsid w:val="00686FF3"/>
    <w:rsid w:val="0068793D"/>
    <w:rsid w:val="00694123"/>
    <w:rsid w:val="00695DF7"/>
    <w:rsid w:val="00695E6B"/>
    <w:rsid w:val="006A0D4B"/>
    <w:rsid w:val="006A2470"/>
    <w:rsid w:val="006A2761"/>
    <w:rsid w:val="006A795A"/>
    <w:rsid w:val="006B042D"/>
    <w:rsid w:val="006B10C1"/>
    <w:rsid w:val="006B2220"/>
    <w:rsid w:val="006B2F25"/>
    <w:rsid w:val="006B31C7"/>
    <w:rsid w:val="006B3809"/>
    <w:rsid w:val="006B45F9"/>
    <w:rsid w:val="006B4EB5"/>
    <w:rsid w:val="006B5444"/>
    <w:rsid w:val="006B5EDA"/>
    <w:rsid w:val="006C0C7F"/>
    <w:rsid w:val="006C15E3"/>
    <w:rsid w:val="006C2570"/>
    <w:rsid w:val="006C2EC9"/>
    <w:rsid w:val="006C3646"/>
    <w:rsid w:val="006C47FE"/>
    <w:rsid w:val="006C55EA"/>
    <w:rsid w:val="006C575A"/>
    <w:rsid w:val="006C6925"/>
    <w:rsid w:val="006C72C6"/>
    <w:rsid w:val="006D0C2D"/>
    <w:rsid w:val="006D11A9"/>
    <w:rsid w:val="006D2BAF"/>
    <w:rsid w:val="006D36E0"/>
    <w:rsid w:val="006D4318"/>
    <w:rsid w:val="006D4E90"/>
    <w:rsid w:val="006D7066"/>
    <w:rsid w:val="006D7D33"/>
    <w:rsid w:val="006E1332"/>
    <w:rsid w:val="006E3551"/>
    <w:rsid w:val="006E63AC"/>
    <w:rsid w:val="006E676C"/>
    <w:rsid w:val="006E68D4"/>
    <w:rsid w:val="006E7291"/>
    <w:rsid w:val="006E75D2"/>
    <w:rsid w:val="006F005A"/>
    <w:rsid w:val="006F0A40"/>
    <w:rsid w:val="006F125B"/>
    <w:rsid w:val="006F5DF9"/>
    <w:rsid w:val="006F7F56"/>
    <w:rsid w:val="00702048"/>
    <w:rsid w:val="00703FC5"/>
    <w:rsid w:val="00704339"/>
    <w:rsid w:val="0070467B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15F8F"/>
    <w:rsid w:val="00720FBD"/>
    <w:rsid w:val="00722F0A"/>
    <w:rsid w:val="00723194"/>
    <w:rsid w:val="00723840"/>
    <w:rsid w:val="00724BB0"/>
    <w:rsid w:val="00725612"/>
    <w:rsid w:val="00725FC6"/>
    <w:rsid w:val="007275A1"/>
    <w:rsid w:val="007303C8"/>
    <w:rsid w:val="007307C4"/>
    <w:rsid w:val="007312B2"/>
    <w:rsid w:val="007313AA"/>
    <w:rsid w:val="0073280D"/>
    <w:rsid w:val="00732EB2"/>
    <w:rsid w:val="00733A52"/>
    <w:rsid w:val="00733F09"/>
    <w:rsid w:val="00734D39"/>
    <w:rsid w:val="00735B52"/>
    <w:rsid w:val="0073651C"/>
    <w:rsid w:val="007375F7"/>
    <w:rsid w:val="007418AA"/>
    <w:rsid w:val="00741D33"/>
    <w:rsid w:val="00742A7F"/>
    <w:rsid w:val="00744A79"/>
    <w:rsid w:val="00747EE6"/>
    <w:rsid w:val="0075087B"/>
    <w:rsid w:val="0075091F"/>
    <w:rsid w:val="007536C3"/>
    <w:rsid w:val="007536FB"/>
    <w:rsid w:val="0075463C"/>
    <w:rsid w:val="00755342"/>
    <w:rsid w:val="00756E81"/>
    <w:rsid w:val="00757119"/>
    <w:rsid w:val="00760C1E"/>
    <w:rsid w:val="00760D49"/>
    <w:rsid w:val="007628B0"/>
    <w:rsid w:val="00764606"/>
    <w:rsid w:val="00764F50"/>
    <w:rsid w:val="00766755"/>
    <w:rsid w:val="007671C9"/>
    <w:rsid w:val="00767B56"/>
    <w:rsid w:val="00771181"/>
    <w:rsid w:val="00771271"/>
    <w:rsid w:val="007715E5"/>
    <w:rsid w:val="00771D7A"/>
    <w:rsid w:val="007720B7"/>
    <w:rsid w:val="0077236C"/>
    <w:rsid w:val="00772B6C"/>
    <w:rsid w:val="007735E3"/>
    <w:rsid w:val="0077446F"/>
    <w:rsid w:val="00774663"/>
    <w:rsid w:val="0077569E"/>
    <w:rsid w:val="00775D98"/>
    <w:rsid w:val="00777CC0"/>
    <w:rsid w:val="00781F4A"/>
    <w:rsid w:val="0078327A"/>
    <w:rsid w:val="0078371E"/>
    <w:rsid w:val="007845B4"/>
    <w:rsid w:val="00787D0C"/>
    <w:rsid w:val="0079038E"/>
    <w:rsid w:val="00791626"/>
    <w:rsid w:val="0079264B"/>
    <w:rsid w:val="00793D7F"/>
    <w:rsid w:val="00796B89"/>
    <w:rsid w:val="007A1384"/>
    <w:rsid w:val="007A2880"/>
    <w:rsid w:val="007A4906"/>
    <w:rsid w:val="007A660E"/>
    <w:rsid w:val="007A6AB8"/>
    <w:rsid w:val="007A769C"/>
    <w:rsid w:val="007A77F8"/>
    <w:rsid w:val="007A7E6C"/>
    <w:rsid w:val="007B1845"/>
    <w:rsid w:val="007B21C4"/>
    <w:rsid w:val="007B2DA7"/>
    <w:rsid w:val="007B3A71"/>
    <w:rsid w:val="007B535F"/>
    <w:rsid w:val="007B5625"/>
    <w:rsid w:val="007B5830"/>
    <w:rsid w:val="007B5C41"/>
    <w:rsid w:val="007C062A"/>
    <w:rsid w:val="007C2530"/>
    <w:rsid w:val="007C3A89"/>
    <w:rsid w:val="007C477D"/>
    <w:rsid w:val="007C5643"/>
    <w:rsid w:val="007C5DB5"/>
    <w:rsid w:val="007C60F8"/>
    <w:rsid w:val="007C7B77"/>
    <w:rsid w:val="007C7F66"/>
    <w:rsid w:val="007D167E"/>
    <w:rsid w:val="007D1961"/>
    <w:rsid w:val="007D1D14"/>
    <w:rsid w:val="007D2AC8"/>
    <w:rsid w:val="007D39E0"/>
    <w:rsid w:val="007D4E6C"/>
    <w:rsid w:val="007D603F"/>
    <w:rsid w:val="007D6A4F"/>
    <w:rsid w:val="007D73AE"/>
    <w:rsid w:val="007D78A7"/>
    <w:rsid w:val="007E0E78"/>
    <w:rsid w:val="007E1D70"/>
    <w:rsid w:val="007E231E"/>
    <w:rsid w:val="007E32C4"/>
    <w:rsid w:val="007E4F55"/>
    <w:rsid w:val="007E6E96"/>
    <w:rsid w:val="007E706A"/>
    <w:rsid w:val="007F0390"/>
    <w:rsid w:val="007F068F"/>
    <w:rsid w:val="007F0A1E"/>
    <w:rsid w:val="007F421A"/>
    <w:rsid w:val="007F4EB6"/>
    <w:rsid w:val="007F4F59"/>
    <w:rsid w:val="007F6B41"/>
    <w:rsid w:val="007F7D68"/>
    <w:rsid w:val="007F7F44"/>
    <w:rsid w:val="0080147E"/>
    <w:rsid w:val="00801484"/>
    <w:rsid w:val="00801F84"/>
    <w:rsid w:val="00803E2C"/>
    <w:rsid w:val="008041E7"/>
    <w:rsid w:val="00806BB1"/>
    <w:rsid w:val="008078E8"/>
    <w:rsid w:val="00811AE2"/>
    <w:rsid w:val="00811E3E"/>
    <w:rsid w:val="008177B5"/>
    <w:rsid w:val="00822EAC"/>
    <w:rsid w:val="008233E4"/>
    <w:rsid w:val="00825412"/>
    <w:rsid w:val="008254FC"/>
    <w:rsid w:val="00825A96"/>
    <w:rsid w:val="00825F32"/>
    <w:rsid w:val="0082707C"/>
    <w:rsid w:val="008306E8"/>
    <w:rsid w:val="008335E6"/>
    <w:rsid w:val="00834BCF"/>
    <w:rsid w:val="00835164"/>
    <w:rsid w:val="00835A6C"/>
    <w:rsid w:val="008400C3"/>
    <w:rsid w:val="008407AE"/>
    <w:rsid w:val="008435FD"/>
    <w:rsid w:val="00843996"/>
    <w:rsid w:val="00844224"/>
    <w:rsid w:val="00850F62"/>
    <w:rsid w:val="00851227"/>
    <w:rsid w:val="008513E3"/>
    <w:rsid w:val="008559A8"/>
    <w:rsid w:val="00855CE1"/>
    <w:rsid w:val="00855D83"/>
    <w:rsid w:val="0085671A"/>
    <w:rsid w:val="00857968"/>
    <w:rsid w:val="00861A9D"/>
    <w:rsid w:val="00863351"/>
    <w:rsid w:val="00863DE6"/>
    <w:rsid w:val="008704A2"/>
    <w:rsid w:val="00870888"/>
    <w:rsid w:val="00874A0E"/>
    <w:rsid w:val="00874A99"/>
    <w:rsid w:val="008756CC"/>
    <w:rsid w:val="00875F33"/>
    <w:rsid w:val="00876163"/>
    <w:rsid w:val="00876578"/>
    <w:rsid w:val="00876E92"/>
    <w:rsid w:val="00877FCD"/>
    <w:rsid w:val="0088040B"/>
    <w:rsid w:val="00880EED"/>
    <w:rsid w:val="008827EF"/>
    <w:rsid w:val="00883543"/>
    <w:rsid w:val="00883F1E"/>
    <w:rsid w:val="0088429A"/>
    <w:rsid w:val="00884DA7"/>
    <w:rsid w:val="00887124"/>
    <w:rsid w:val="0089233B"/>
    <w:rsid w:val="00893D24"/>
    <w:rsid w:val="0089400E"/>
    <w:rsid w:val="008940AF"/>
    <w:rsid w:val="00894FBD"/>
    <w:rsid w:val="008A10E2"/>
    <w:rsid w:val="008A1947"/>
    <w:rsid w:val="008A2786"/>
    <w:rsid w:val="008A44FD"/>
    <w:rsid w:val="008A6366"/>
    <w:rsid w:val="008A7776"/>
    <w:rsid w:val="008A79D5"/>
    <w:rsid w:val="008B1C64"/>
    <w:rsid w:val="008B3117"/>
    <w:rsid w:val="008B3711"/>
    <w:rsid w:val="008B51ED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65FA"/>
    <w:rsid w:val="008D7035"/>
    <w:rsid w:val="008D73FD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8F6CF4"/>
    <w:rsid w:val="00900DBC"/>
    <w:rsid w:val="009013D7"/>
    <w:rsid w:val="00901BDE"/>
    <w:rsid w:val="00901C62"/>
    <w:rsid w:val="00902565"/>
    <w:rsid w:val="009028A5"/>
    <w:rsid w:val="00904158"/>
    <w:rsid w:val="009046C9"/>
    <w:rsid w:val="00904F1C"/>
    <w:rsid w:val="00905127"/>
    <w:rsid w:val="009062AF"/>
    <w:rsid w:val="009062DE"/>
    <w:rsid w:val="00906D3D"/>
    <w:rsid w:val="00906D57"/>
    <w:rsid w:val="00910704"/>
    <w:rsid w:val="00910DF6"/>
    <w:rsid w:val="00911713"/>
    <w:rsid w:val="00911C54"/>
    <w:rsid w:val="00917BB6"/>
    <w:rsid w:val="009207AD"/>
    <w:rsid w:val="009210B9"/>
    <w:rsid w:val="00923476"/>
    <w:rsid w:val="0092403B"/>
    <w:rsid w:val="009249A7"/>
    <w:rsid w:val="00924C7F"/>
    <w:rsid w:val="0092617B"/>
    <w:rsid w:val="0093036C"/>
    <w:rsid w:val="00930400"/>
    <w:rsid w:val="009309F0"/>
    <w:rsid w:val="00931B6A"/>
    <w:rsid w:val="00932624"/>
    <w:rsid w:val="0093262F"/>
    <w:rsid w:val="00932FE4"/>
    <w:rsid w:val="009331A5"/>
    <w:rsid w:val="009334B3"/>
    <w:rsid w:val="009341C0"/>
    <w:rsid w:val="00934AA4"/>
    <w:rsid w:val="009360C5"/>
    <w:rsid w:val="00936F05"/>
    <w:rsid w:val="00936FF1"/>
    <w:rsid w:val="0094359B"/>
    <w:rsid w:val="00946F3D"/>
    <w:rsid w:val="00951053"/>
    <w:rsid w:val="009519FF"/>
    <w:rsid w:val="0095275E"/>
    <w:rsid w:val="00952B5C"/>
    <w:rsid w:val="00954974"/>
    <w:rsid w:val="009568D1"/>
    <w:rsid w:val="00956D5B"/>
    <w:rsid w:val="00956E23"/>
    <w:rsid w:val="009571DA"/>
    <w:rsid w:val="009579FB"/>
    <w:rsid w:val="00957E56"/>
    <w:rsid w:val="00963C7E"/>
    <w:rsid w:val="00965D97"/>
    <w:rsid w:val="00966A93"/>
    <w:rsid w:val="00967106"/>
    <w:rsid w:val="009702BA"/>
    <w:rsid w:val="00970886"/>
    <w:rsid w:val="009711B2"/>
    <w:rsid w:val="0097197A"/>
    <w:rsid w:val="00971E6D"/>
    <w:rsid w:val="00972835"/>
    <w:rsid w:val="00972F13"/>
    <w:rsid w:val="00974B1D"/>
    <w:rsid w:val="00977A7E"/>
    <w:rsid w:val="00977B12"/>
    <w:rsid w:val="00977CE8"/>
    <w:rsid w:val="00981717"/>
    <w:rsid w:val="009823FB"/>
    <w:rsid w:val="00982453"/>
    <w:rsid w:val="00982B2D"/>
    <w:rsid w:val="00982BCD"/>
    <w:rsid w:val="00984013"/>
    <w:rsid w:val="00985E40"/>
    <w:rsid w:val="00985EA6"/>
    <w:rsid w:val="0098692E"/>
    <w:rsid w:val="0099122D"/>
    <w:rsid w:val="009918ED"/>
    <w:rsid w:val="009920D6"/>
    <w:rsid w:val="00992554"/>
    <w:rsid w:val="0099356F"/>
    <w:rsid w:val="00993804"/>
    <w:rsid w:val="00993ADB"/>
    <w:rsid w:val="00994B41"/>
    <w:rsid w:val="00996F79"/>
    <w:rsid w:val="009A1791"/>
    <w:rsid w:val="009A1D46"/>
    <w:rsid w:val="009A32F4"/>
    <w:rsid w:val="009A4B1F"/>
    <w:rsid w:val="009A5159"/>
    <w:rsid w:val="009A5379"/>
    <w:rsid w:val="009A550B"/>
    <w:rsid w:val="009A5A62"/>
    <w:rsid w:val="009A5A96"/>
    <w:rsid w:val="009A725D"/>
    <w:rsid w:val="009B0CC7"/>
    <w:rsid w:val="009B0EFF"/>
    <w:rsid w:val="009B133E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3512"/>
    <w:rsid w:val="009C514F"/>
    <w:rsid w:val="009C537D"/>
    <w:rsid w:val="009C66DC"/>
    <w:rsid w:val="009C6A8C"/>
    <w:rsid w:val="009D0A8F"/>
    <w:rsid w:val="009D3699"/>
    <w:rsid w:val="009D4B68"/>
    <w:rsid w:val="009D5AC5"/>
    <w:rsid w:val="009E1CDB"/>
    <w:rsid w:val="009E27A8"/>
    <w:rsid w:val="009E2D35"/>
    <w:rsid w:val="009E2F90"/>
    <w:rsid w:val="009E534A"/>
    <w:rsid w:val="009E5A6B"/>
    <w:rsid w:val="009E5D22"/>
    <w:rsid w:val="009E752B"/>
    <w:rsid w:val="009F0062"/>
    <w:rsid w:val="009F0628"/>
    <w:rsid w:val="009F1018"/>
    <w:rsid w:val="009F1979"/>
    <w:rsid w:val="009F25CB"/>
    <w:rsid w:val="009F2781"/>
    <w:rsid w:val="009F3310"/>
    <w:rsid w:val="009F473C"/>
    <w:rsid w:val="009F7F7F"/>
    <w:rsid w:val="00A01719"/>
    <w:rsid w:val="00A01CD3"/>
    <w:rsid w:val="00A02B30"/>
    <w:rsid w:val="00A032D4"/>
    <w:rsid w:val="00A070DC"/>
    <w:rsid w:val="00A1714A"/>
    <w:rsid w:val="00A17999"/>
    <w:rsid w:val="00A2010A"/>
    <w:rsid w:val="00A2014C"/>
    <w:rsid w:val="00A20173"/>
    <w:rsid w:val="00A206F5"/>
    <w:rsid w:val="00A20DD9"/>
    <w:rsid w:val="00A22745"/>
    <w:rsid w:val="00A24EB6"/>
    <w:rsid w:val="00A257C2"/>
    <w:rsid w:val="00A26E73"/>
    <w:rsid w:val="00A26F1F"/>
    <w:rsid w:val="00A30AC0"/>
    <w:rsid w:val="00A319FA"/>
    <w:rsid w:val="00A33A5A"/>
    <w:rsid w:val="00A33B12"/>
    <w:rsid w:val="00A33F44"/>
    <w:rsid w:val="00A41C31"/>
    <w:rsid w:val="00A42412"/>
    <w:rsid w:val="00A42975"/>
    <w:rsid w:val="00A43A5B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5FD"/>
    <w:rsid w:val="00A57DF1"/>
    <w:rsid w:val="00A60BE3"/>
    <w:rsid w:val="00A61CAD"/>
    <w:rsid w:val="00A622EC"/>
    <w:rsid w:val="00A650B0"/>
    <w:rsid w:val="00A650DB"/>
    <w:rsid w:val="00A65DA9"/>
    <w:rsid w:val="00A662ED"/>
    <w:rsid w:val="00A67216"/>
    <w:rsid w:val="00A67458"/>
    <w:rsid w:val="00A6749B"/>
    <w:rsid w:val="00A67D9D"/>
    <w:rsid w:val="00A67F99"/>
    <w:rsid w:val="00A72FD7"/>
    <w:rsid w:val="00A741B5"/>
    <w:rsid w:val="00A75BC6"/>
    <w:rsid w:val="00A75E3B"/>
    <w:rsid w:val="00A77CED"/>
    <w:rsid w:val="00A77F0D"/>
    <w:rsid w:val="00A8027E"/>
    <w:rsid w:val="00A80425"/>
    <w:rsid w:val="00A81E58"/>
    <w:rsid w:val="00A83BE9"/>
    <w:rsid w:val="00A83CC8"/>
    <w:rsid w:val="00A83E19"/>
    <w:rsid w:val="00A844CA"/>
    <w:rsid w:val="00A84743"/>
    <w:rsid w:val="00A8653C"/>
    <w:rsid w:val="00A870EB"/>
    <w:rsid w:val="00A879CB"/>
    <w:rsid w:val="00A87C83"/>
    <w:rsid w:val="00A91062"/>
    <w:rsid w:val="00A91E97"/>
    <w:rsid w:val="00A92041"/>
    <w:rsid w:val="00A92934"/>
    <w:rsid w:val="00A93AB3"/>
    <w:rsid w:val="00A95A84"/>
    <w:rsid w:val="00A95D40"/>
    <w:rsid w:val="00AA3AFC"/>
    <w:rsid w:val="00AA51C0"/>
    <w:rsid w:val="00AA574D"/>
    <w:rsid w:val="00AA57DA"/>
    <w:rsid w:val="00AA5D0E"/>
    <w:rsid w:val="00AA67AC"/>
    <w:rsid w:val="00AB0808"/>
    <w:rsid w:val="00AB0AE2"/>
    <w:rsid w:val="00AB10DE"/>
    <w:rsid w:val="00AB310B"/>
    <w:rsid w:val="00AB3787"/>
    <w:rsid w:val="00AB4A3D"/>
    <w:rsid w:val="00AB4A73"/>
    <w:rsid w:val="00AB5894"/>
    <w:rsid w:val="00AB6E3A"/>
    <w:rsid w:val="00AC1241"/>
    <w:rsid w:val="00AC1D7B"/>
    <w:rsid w:val="00AC1FDF"/>
    <w:rsid w:val="00AC2BB0"/>
    <w:rsid w:val="00AC4933"/>
    <w:rsid w:val="00AC498F"/>
    <w:rsid w:val="00AC5464"/>
    <w:rsid w:val="00AC68AA"/>
    <w:rsid w:val="00AC7114"/>
    <w:rsid w:val="00AC759F"/>
    <w:rsid w:val="00AD1194"/>
    <w:rsid w:val="00AD4ADB"/>
    <w:rsid w:val="00AD50A4"/>
    <w:rsid w:val="00AD6BEF"/>
    <w:rsid w:val="00AE1C18"/>
    <w:rsid w:val="00AE1F97"/>
    <w:rsid w:val="00AE3D04"/>
    <w:rsid w:val="00AE6866"/>
    <w:rsid w:val="00AE7FEE"/>
    <w:rsid w:val="00AF00B6"/>
    <w:rsid w:val="00AF028F"/>
    <w:rsid w:val="00AF14E1"/>
    <w:rsid w:val="00AF1529"/>
    <w:rsid w:val="00AF3075"/>
    <w:rsid w:val="00AF4B2C"/>
    <w:rsid w:val="00AF5C52"/>
    <w:rsid w:val="00AF6738"/>
    <w:rsid w:val="00AF6E70"/>
    <w:rsid w:val="00AF6EA0"/>
    <w:rsid w:val="00AF7F71"/>
    <w:rsid w:val="00B01ABD"/>
    <w:rsid w:val="00B04D18"/>
    <w:rsid w:val="00B0547A"/>
    <w:rsid w:val="00B06247"/>
    <w:rsid w:val="00B06341"/>
    <w:rsid w:val="00B069E0"/>
    <w:rsid w:val="00B06E11"/>
    <w:rsid w:val="00B0701A"/>
    <w:rsid w:val="00B109F6"/>
    <w:rsid w:val="00B16A8E"/>
    <w:rsid w:val="00B16BBD"/>
    <w:rsid w:val="00B172B2"/>
    <w:rsid w:val="00B2062F"/>
    <w:rsid w:val="00B2147D"/>
    <w:rsid w:val="00B25912"/>
    <w:rsid w:val="00B26683"/>
    <w:rsid w:val="00B27446"/>
    <w:rsid w:val="00B3061A"/>
    <w:rsid w:val="00B309BE"/>
    <w:rsid w:val="00B333C3"/>
    <w:rsid w:val="00B3498C"/>
    <w:rsid w:val="00B35447"/>
    <w:rsid w:val="00B35452"/>
    <w:rsid w:val="00B36133"/>
    <w:rsid w:val="00B42F65"/>
    <w:rsid w:val="00B45231"/>
    <w:rsid w:val="00B47947"/>
    <w:rsid w:val="00B50093"/>
    <w:rsid w:val="00B528D0"/>
    <w:rsid w:val="00B52B8F"/>
    <w:rsid w:val="00B5306F"/>
    <w:rsid w:val="00B53498"/>
    <w:rsid w:val="00B5489F"/>
    <w:rsid w:val="00B5500D"/>
    <w:rsid w:val="00B56480"/>
    <w:rsid w:val="00B56519"/>
    <w:rsid w:val="00B565D2"/>
    <w:rsid w:val="00B573B5"/>
    <w:rsid w:val="00B578F5"/>
    <w:rsid w:val="00B57B0F"/>
    <w:rsid w:val="00B57B59"/>
    <w:rsid w:val="00B6050D"/>
    <w:rsid w:val="00B62484"/>
    <w:rsid w:val="00B62DEF"/>
    <w:rsid w:val="00B634B5"/>
    <w:rsid w:val="00B63C18"/>
    <w:rsid w:val="00B642CA"/>
    <w:rsid w:val="00B64F43"/>
    <w:rsid w:val="00B66080"/>
    <w:rsid w:val="00B66235"/>
    <w:rsid w:val="00B66A0D"/>
    <w:rsid w:val="00B66BF9"/>
    <w:rsid w:val="00B66DFA"/>
    <w:rsid w:val="00B6767C"/>
    <w:rsid w:val="00B723E7"/>
    <w:rsid w:val="00B72DA1"/>
    <w:rsid w:val="00B7353B"/>
    <w:rsid w:val="00B7440E"/>
    <w:rsid w:val="00B750BE"/>
    <w:rsid w:val="00B759CC"/>
    <w:rsid w:val="00B75F9B"/>
    <w:rsid w:val="00B77459"/>
    <w:rsid w:val="00B77F7B"/>
    <w:rsid w:val="00B804B5"/>
    <w:rsid w:val="00B80984"/>
    <w:rsid w:val="00B80CC0"/>
    <w:rsid w:val="00B82B71"/>
    <w:rsid w:val="00B84F8B"/>
    <w:rsid w:val="00B851EE"/>
    <w:rsid w:val="00B8527F"/>
    <w:rsid w:val="00B86F2C"/>
    <w:rsid w:val="00B878D2"/>
    <w:rsid w:val="00B91B40"/>
    <w:rsid w:val="00B926BB"/>
    <w:rsid w:val="00B9439D"/>
    <w:rsid w:val="00B94A78"/>
    <w:rsid w:val="00B95091"/>
    <w:rsid w:val="00B9555A"/>
    <w:rsid w:val="00B95914"/>
    <w:rsid w:val="00BA0193"/>
    <w:rsid w:val="00BA1BD7"/>
    <w:rsid w:val="00BA1DDD"/>
    <w:rsid w:val="00BA318C"/>
    <w:rsid w:val="00BA7402"/>
    <w:rsid w:val="00BA7815"/>
    <w:rsid w:val="00BB119A"/>
    <w:rsid w:val="00BB3391"/>
    <w:rsid w:val="00BB7ED6"/>
    <w:rsid w:val="00BC15AC"/>
    <w:rsid w:val="00BC1E53"/>
    <w:rsid w:val="00BC2821"/>
    <w:rsid w:val="00BC3D46"/>
    <w:rsid w:val="00BC4CDF"/>
    <w:rsid w:val="00BC4D33"/>
    <w:rsid w:val="00BC5C2F"/>
    <w:rsid w:val="00BC5CB7"/>
    <w:rsid w:val="00BC7342"/>
    <w:rsid w:val="00BD186D"/>
    <w:rsid w:val="00BD3832"/>
    <w:rsid w:val="00BD3FC7"/>
    <w:rsid w:val="00BD4652"/>
    <w:rsid w:val="00BD5362"/>
    <w:rsid w:val="00BD55B1"/>
    <w:rsid w:val="00BD5A40"/>
    <w:rsid w:val="00BD6502"/>
    <w:rsid w:val="00BD6742"/>
    <w:rsid w:val="00BD716F"/>
    <w:rsid w:val="00BD7586"/>
    <w:rsid w:val="00BE1374"/>
    <w:rsid w:val="00BE4699"/>
    <w:rsid w:val="00BE4D8F"/>
    <w:rsid w:val="00BE4D91"/>
    <w:rsid w:val="00BE5934"/>
    <w:rsid w:val="00BE60D6"/>
    <w:rsid w:val="00BF59C6"/>
    <w:rsid w:val="00BF5A10"/>
    <w:rsid w:val="00BF6D6A"/>
    <w:rsid w:val="00C004A1"/>
    <w:rsid w:val="00C03521"/>
    <w:rsid w:val="00C03531"/>
    <w:rsid w:val="00C03D05"/>
    <w:rsid w:val="00C050B2"/>
    <w:rsid w:val="00C05A09"/>
    <w:rsid w:val="00C079C6"/>
    <w:rsid w:val="00C07E9A"/>
    <w:rsid w:val="00C104D0"/>
    <w:rsid w:val="00C1107E"/>
    <w:rsid w:val="00C118D2"/>
    <w:rsid w:val="00C13904"/>
    <w:rsid w:val="00C13D90"/>
    <w:rsid w:val="00C151CC"/>
    <w:rsid w:val="00C162F7"/>
    <w:rsid w:val="00C16620"/>
    <w:rsid w:val="00C16892"/>
    <w:rsid w:val="00C20AC8"/>
    <w:rsid w:val="00C20C04"/>
    <w:rsid w:val="00C22AEC"/>
    <w:rsid w:val="00C268B8"/>
    <w:rsid w:val="00C278C6"/>
    <w:rsid w:val="00C279F5"/>
    <w:rsid w:val="00C30429"/>
    <w:rsid w:val="00C3151F"/>
    <w:rsid w:val="00C3228E"/>
    <w:rsid w:val="00C32C00"/>
    <w:rsid w:val="00C33B21"/>
    <w:rsid w:val="00C34B67"/>
    <w:rsid w:val="00C35C9E"/>
    <w:rsid w:val="00C35ED6"/>
    <w:rsid w:val="00C40A20"/>
    <w:rsid w:val="00C41007"/>
    <w:rsid w:val="00C44DB2"/>
    <w:rsid w:val="00C45489"/>
    <w:rsid w:val="00C461B5"/>
    <w:rsid w:val="00C46C5E"/>
    <w:rsid w:val="00C50731"/>
    <w:rsid w:val="00C51107"/>
    <w:rsid w:val="00C51437"/>
    <w:rsid w:val="00C5210E"/>
    <w:rsid w:val="00C526CA"/>
    <w:rsid w:val="00C56F1A"/>
    <w:rsid w:val="00C57161"/>
    <w:rsid w:val="00C57C2B"/>
    <w:rsid w:val="00C608B6"/>
    <w:rsid w:val="00C619D7"/>
    <w:rsid w:val="00C65E9F"/>
    <w:rsid w:val="00C705F1"/>
    <w:rsid w:val="00C70CE3"/>
    <w:rsid w:val="00C712AE"/>
    <w:rsid w:val="00C718C8"/>
    <w:rsid w:val="00C71F75"/>
    <w:rsid w:val="00C73D9E"/>
    <w:rsid w:val="00C74DF9"/>
    <w:rsid w:val="00C7615F"/>
    <w:rsid w:val="00C76BE1"/>
    <w:rsid w:val="00C76EC2"/>
    <w:rsid w:val="00C77A53"/>
    <w:rsid w:val="00C8024E"/>
    <w:rsid w:val="00C842BE"/>
    <w:rsid w:val="00C851CC"/>
    <w:rsid w:val="00C85FFE"/>
    <w:rsid w:val="00C86AF3"/>
    <w:rsid w:val="00C90F36"/>
    <w:rsid w:val="00C91E96"/>
    <w:rsid w:val="00C97637"/>
    <w:rsid w:val="00CA1859"/>
    <w:rsid w:val="00CA2129"/>
    <w:rsid w:val="00CA3069"/>
    <w:rsid w:val="00CA323E"/>
    <w:rsid w:val="00CA3511"/>
    <w:rsid w:val="00CA6C2B"/>
    <w:rsid w:val="00CA71FD"/>
    <w:rsid w:val="00CA7DA0"/>
    <w:rsid w:val="00CB17C8"/>
    <w:rsid w:val="00CB311E"/>
    <w:rsid w:val="00CB3B04"/>
    <w:rsid w:val="00CB56A1"/>
    <w:rsid w:val="00CC0503"/>
    <w:rsid w:val="00CC08D7"/>
    <w:rsid w:val="00CC0A38"/>
    <w:rsid w:val="00CC0D49"/>
    <w:rsid w:val="00CC3654"/>
    <w:rsid w:val="00CD0411"/>
    <w:rsid w:val="00CD04D2"/>
    <w:rsid w:val="00CD0839"/>
    <w:rsid w:val="00CD108E"/>
    <w:rsid w:val="00CD13FB"/>
    <w:rsid w:val="00CD15EC"/>
    <w:rsid w:val="00CD2957"/>
    <w:rsid w:val="00CD2AE3"/>
    <w:rsid w:val="00CD62E7"/>
    <w:rsid w:val="00CD658D"/>
    <w:rsid w:val="00CD7E8F"/>
    <w:rsid w:val="00CE021E"/>
    <w:rsid w:val="00CE1102"/>
    <w:rsid w:val="00CE5401"/>
    <w:rsid w:val="00CE6C51"/>
    <w:rsid w:val="00CF0EA3"/>
    <w:rsid w:val="00CF2959"/>
    <w:rsid w:val="00CF3C0E"/>
    <w:rsid w:val="00CF4276"/>
    <w:rsid w:val="00CF4363"/>
    <w:rsid w:val="00CF44E1"/>
    <w:rsid w:val="00CF4D64"/>
    <w:rsid w:val="00CF57FE"/>
    <w:rsid w:val="00CF64FA"/>
    <w:rsid w:val="00CF69E7"/>
    <w:rsid w:val="00D024A8"/>
    <w:rsid w:val="00D04EF0"/>
    <w:rsid w:val="00D0592D"/>
    <w:rsid w:val="00D06FA3"/>
    <w:rsid w:val="00D06FC8"/>
    <w:rsid w:val="00D07400"/>
    <w:rsid w:val="00D113AE"/>
    <w:rsid w:val="00D11944"/>
    <w:rsid w:val="00D13A1B"/>
    <w:rsid w:val="00D1564C"/>
    <w:rsid w:val="00D17137"/>
    <w:rsid w:val="00D1768A"/>
    <w:rsid w:val="00D203C7"/>
    <w:rsid w:val="00D205ED"/>
    <w:rsid w:val="00D22016"/>
    <w:rsid w:val="00D22FA0"/>
    <w:rsid w:val="00D2395E"/>
    <w:rsid w:val="00D2570E"/>
    <w:rsid w:val="00D2596A"/>
    <w:rsid w:val="00D26C9A"/>
    <w:rsid w:val="00D303EA"/>
    <w:rsid w:val="00D30CF2"/>
    <w:rsid w:val="00D32A64"/>
    <w:rsid w:val="00D32FDF"/>
    <w:rsid w:val="00D3494D"/>
    <w:rsid w:val="00D34DC9"/>
    <w:rsid w:val="00D35121"/>
    <w:rsid w:val="00D3595B"/>
    <w:rsid w:val="00D35B6D"/>
    <w:rsid w:val="00D362C1"/>
    <w:rsid w:val="00D379FF"/>
    <w:rsid w:val="00D37CC4"/>
    <w:rsid w:val="00D406E4"/>
    <w:rsid w:val="00D41A64"/>
    <w:rsid w:val="00D426C0"/>
    <w:rsid w:val="00D43019"/>
    <w:rsid w:val="00D436C0"/>
    <w:rsid w:val="00D4722F"/>
    <w:rsid w:val="00D50F26"/>
    <w:rsid w:val="00D52DE1"/>
    <w:rsid w:val="00D531C7"/>
    <w:rsid w:val="00D56C3C"/>
    <w:rsid w:val="00D61358"/>
    <w:rsid w:val="00D614EA"/>
    <w:rsid w:val="00D6201B"/>
    <w:rsid w:val="00D62FFE"/>
    <w:rsid w:val="00D63D6F"/>
    <w:rsid w:val="00D6422A"/>
    <w:rsid w:val="00D64D82"/>
    <w:rsid w:val="00D6531C"/>
    <w:rsid w:val="00D706E6"/>
    <w:rsid w:val="00D72E78"/>
    <w:rsid w:val="00D75E9C"/>
    <w:rsid w:val="00D763FD"/>
    <w:rsid w:val="00D817FA"/>
    <w:rsid w:val="00D81BCD"/>
    <w:rsid w:val="00D82561"/>
    <w:rsid w:val="00D82AE3"/>
    <w:rsid w:val="00D830A5"/>
    <w:rsid w:val="00D864E6"/>
    <w:rsid w:val="00D869B5"/>
    <w:rsid w:val="00D86CE0"/>
    <w:rsid w:val="00D903E9"/>
    <w:rsid w:val="00D918F3"/>
    <w:rsid w:val="00D92B08"/>
    <w:rsid w:val="00D92B43"/>
    <w:rsid w:val="00D93BA6"/>
    <w:rsid w:val="00D943EA"/>
    <w:rsid w:val="00D963D9"/>
    <w:rsid w:val="00D96593"/>
    <w:rsid w:val="00D973FA"/>
    <w:rsid w:val="00DA0A4E"/>
    <w:rsid w:val="00DA0B48"/>
    <w:rsid w:val="00DA0C32"/>
    <w:rsid w:val="00DA2EEA"/>
    <w:rsid w:val="00DA382F"/>
    <w:rsid w:val="00DA44A3"/>
    <w:rsid w:val="00DA478A"/>
    <w:rsid w:val="00DA5790"/>
    <w:rsid w:val="00DB277F"/>
    <w:rsid w:val="00DB2AC0"/>
    <w:rsid w:val="00DB4786"/>
    <w:rsid w:val="00DB4835"/>
    <w:rsid w:val="00DB52C5"/>
    <w:rsid w:val="00DB55AC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4A9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109"/>
    <w:rsid w:val="00DE0FE8"/>
    <w:rsid w:val="00DE2AF5"/>
    <w:rsid w:val="00DE3B06"/>
    <w:rsid w:val="00DE6A54"/>
    <w:rsid w:val="00DE6DD7"/>
    <w:rsid w:val="00DF0BA9"/>
    <w:rsid w:val="00DF167E"/>
    <w:rsid w:val="00DF2CBE"/>
    <w:rsid w:val="00DF4D02"/>
    <w:rsid w:val="00DF72A8"/>
    <w:rsid w:val="00E01352"/>
    <w:rsid w:val="00E02A68"/>
    <w:rsid w:val="00E02D99"/>
    <w:rsid w:val="00E03812"/>
    <w:rsid w:val="00E03DB4"/>
    <w:rsid w:val="00E04101"/>
    <w:rsid w:val="00E049FC"/>
    <w:rsid w:val="00E04D92"/>
    <w:rsid w:val="00E053B8"/>
    <w:rsid w:val="00E0557E"/>
    <w:rsid w:val="00E15DC4"/>
    <w:rsid w:val="00E161E8"/>
    <w:rsid w:val="00E1729B"/>
    <w:rsid w:val="00E1791D"/>
    <w:rsid w:val="00E20876"/>
    <w:rsid w:val="00E214AF"/>
    <w:rsid w:val="00E221DB"/>
    <w:rsid w:val="00E236F3"/>
    <w:rsid w:val="00E26EA6"/>
    <w:rsid w:val="00E30BDE"/>
    <w:rsid w:val="00E30C8E"/>
    <w:rsid w:val="00E3201B"/>
    <w:rsid w:val="00E34090"/>
    <w:rsid w:val="00E3451D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257E"/>
    <w:rsid w:val="00E6398D"/>
    <w:rsid w:val="00E6694B"/>
    <w:rsid w:val="00E676DF"/>
    <w:rsid w:val="00E73E0B"/>
    <w:rsid w:val="00E74F0E"/>
    <w:rsid w:val="00E75D8D"/>
    <w:rsid w:val="00E816DC"/>
    <w:rsid w:val="00E82620"/>
    <w:rsid w:val="00E82CDB"/>
    <w:rsid w:val="00E8366C"/>
    <w:rsid w:val="00E857A5"/>
    <w:rsid w:val="00E86184"/>
    <w:rsid w:val="00E86196"/>
    <w:rsid w:val="00E8708C"/>
    <w:rsid w:val="00E870C5"/>
    <w:rsid w:val="00E90DDB"/>
    <w:rsid w:val="00E93293"/>
    <w:rsid w:val="00E93704"/>
    <w:rsid w:val="00E95BC5"/>
    <w:rsid w:val="00E96430"/>
    <w:rsid w:val="00E97534"/>
    <w:rsid w:val="00E9767A"/>
    <w:rsid w:val="00EA0A22"/>
    <w:rsid w:val="00EA0A39"/>
    <w:rsid w:val="00EA19BA"/>
    <w:rsid w:val="00EA2BFE"/>
    <w:rsid w:val="00EA444C"/>
    <w:rsid w:val="00EA516C"/>
    <w:rsid w:val="00EA5F3B"/>
    <w:rsid w:val="00EA607E"/>
    <w:rsid w:val="00EA6824"/>
    <w:rsid w:val="00EB158B"/>
    <w:rsid w:val="00EB1C5E"/>
    <w:rsid w:val="00EB3805"/>
    <w:rsid w:val="00EB3863"/>
    <w:rsid w:val="00EB38E8"/>
    <w:rsid w:val="00EB4247"/>
    <w:rsid w:val="00EB44F8"/>
    <w:rsid w:val="00EB4F59"/>
    <w:rsid w:val="00EB4F88"/>
    <w:rsid w:val="00EB526A"/>
    <w:rsid w:val="00EB5C38"/>
    <w:rsid w:val="00EB5FAA"/>
    <w:rsid w:val="00EB68FF"/>
    <w:rsid w:val="00EB7643"/>
    <w:rsid w:val="00EC0F72"/>
    <w:rsid w:val="00EC1793"/>
    <w:rsid w:val="00EC2509"/>
    <w:rsid w:val="00EC52F2"/>
    <w:rsid w:val="00EC5467"/>
    <w:rsid w:val="00EC7C73"/>
    <w:rsid w:val="00EC7D90"/>
    <w:rsid w:val="00ED1E23"/>
    <w:rsid w:val="00ED2426"/>
    <w:rsid w:val="00ED3092"/>
    <w:rsid w:val="00ED4051"/>
    <w:rsid w:val="00ED46E2"/>
    <w:rsid w:val="00ED75DE"/>
    <w:rsid w:val="00EE05E2"/>
    <w:rsid w:val="00EE2995"/>
    <w:rsid w:val="00EE375E"/>
    <w:rsid w:val="00EE6417"/>
    <w:rsid w:val="00EF0A6C"/>
    <w:rsid w:val="00EF0CF7"/>
    <w:rsid w:val="00EF1002"/>
    <w:rsid w:val="00EF4FCC"/>
    <w:rsid w:val="00EF634D"/>
    <w:rsid w:val="00F00746"/>
    <w:rsid w:val="00F00A03"/>
    <w:rsid w:val="00F00ACD"/>
    <w:rsid w:val="00F013F7"/>
    <w:rsid w:val="00F01C08"/>
    <w:rsid w:val="00F02F04"/>
    <w:rsid w:val="00F05CB0"/>
    <w:rsid w:val="00F07734"/>
    <w:rsid w:val="00F07DA1"/>
    <w:rsid w:val="00F07F3F"/>
    <w:rsid w:val="00F105F2"/>
    <w:rsid w:val="00F16EB1"/>
    <w:rsid w:val="00F20605"/>
    <w:rsid w:val="00F21278"/>
    <w:rsid w:val="00F216F4"/>
    <w:rsid w:val="00F2186C"/>
    <w:rsid w:val="00F218DD"/>
    <w:rsid w:val="00F2332C"/>
    <w:rsid w:val="00F251E7"/>
    <w:rsid w:val="00F26603"/>
    <w:rsid w:val="00F3127E"/>
    <w:rsid w:val="00F3250C"/>
    <w:rsid w:val="00F32670"/>
    <w:rsid w:val="00F34DC9"/>
    <w:rsid w:val="00F35072"/>
    <w:rsid w:val="00F3607B"/>
    <w:rsid w:val="00F37D2E"/>
    <w:rsid w:val="00F37EB5"/>
    <w:rsid w:val="00F4251F"/>
    <w:rsid w:val="00F431D0"/>
    <w:rsid w:val="00F44ED7"/>
    <w:rsid w:val="00F467E1"/>
    <w:rsid w:val="00F47695"/>
    <w:rsid w:val="00F47756"/>
    <w:rsid w:val="00F47835"/>
    <w:rsid w:val="00F47F80"/>
    <w:rsid w:val="00F50403"/>
    <w:rsid w:val="00F5168F"/>
    <w:rsid w:val="00F53379"/>
    <w:rsid w:val="00F53B7B"/>
    <w:rsid w:val="00F53F3C"/>
    <w:rsid w:val="00F55373"/>
    <w:rsid w:val="00F5577B"/>
    <w:rsid w:val="00F560C3"/>
    <w:rsid w:val="00F56E8C"/>
    <w:rsid w:val="00F60A26"/>
    <w:rsid w:val="00F60A3F"/>
    <w:rsid w:val="00F61999"/>
    <w:rsid w:val="00F62249"/>
    <w:rsid w:val="00F639A2"/>
    <w:rsid w:val="00F64358"/>
    <w:rsid w:val="00F65190"/>
    <w:rsid w:val="00F65B36"/>
    <w:rsid w:val="00F66CD3"/>
    <w:rsid w:val="00F67106"/>
    <w:rsid w:val="00F67CCA"/>
    <w:rsid w:val="00F718E2"/>
    <w:rsid w:val="00F7252A"/>
    <w:rsid w:val="00F74624"/>
    <w:rsid w:val="00F74D39"/>
    <w:rsid w:val="00F753F0"/>
    <w:rsid w:val="00F75CAC"/>
    <w:rsid w:val="00F76047"/>
    <w:rsid w:val="00F765A2"/>
    <w:rsid w:val="00F768FB"/>
    <w:rsid w:val="00F7698D"/>
    <w:rsid w:val="00F77B5C"/>
    <w:rsid w:val="00F77BD1"/>
    <w:rsid w:val="00F77CC8"/>
    <w:rsid w:val="00F77DDA"/>
    <w:rsid w:val="00F77F03"/>
    <w:rsid w:val="00F8285B"/>
    <w:rsid w:val="00F85F99"/>
    <w:rsid w:val="00F85FC5"/>
    <w:rsid w:val="00F862AA"/>
    <w:rsid w:val="00F8699D"/>
    <w:rsid w:val="00F874F5"/>
    <w:rsid w:val="00F903A7"/>
    <w:rsid w:val="00F91D45"/>
    <w:rsid w:val="00F9214F"/>
    <w:rsid w:val="00F92E8B"/>
    <w:rsid w:val="00F947BC"/>
    <w:rsid w:val="00FA072C"/>
    <w:rsid w:val="00FA25E5"/>
    <w:rsid w:val="00FA64FE"/>
    <w:rsid w:val="00FA7B73"/>
    <w:rsid w:val="00FB29A6"/>
    <w:rsid w:val="00FC0B50"/>
    <w:rsid w:val="00FC2106"/>
    <w:rsid w:val="00FC2DA6"/>
    <w:rsid w:val="00FC45FD"/>
    <w:rsid w:val="00FC47BE"/>
    <w:rsid w:val="00FC4D31"/>
    <w:rsid w:val="00FC57E3"/>
    <w:rsid w:val="00FC60AF"/>
    <w:rsid w:val="00FC6D7F"/>
    <w:rsid w:val="00FC73FE"/>
    <w:rsid w:val="00FC7507"/>
    <w:rsid w:val="00FC78D4"/>
    <w:rsid w:val="00FD10EE"/>
    <w:rsid w:val="00FD1720"/>
    <w:rsid w:val="00FD3AA2"/>
    <w:rsid w:val="00FD41EB"/>
    <w:rsid w:val="00FD5A59"/>
    <w:rsid w:val="00FD605C"/>
    <w:rsid w:val="00FE0BA2"/>
    <w:rsid w:val="00FE12AE"/>
    <w:rsid w:val="00FE2757"/>
    <w:rsid w:val="00FE3BDD"/>
    <w:rsid w:val="00FE3CF7"/>
    <w:rsid w:val="00FE3E47"/>
    <w:rsid w:val="00FE452F"/>
    <w:rsid w:val="00FE4CF6"/>
    <w:rsid w:val="00FE550E"/>
    <w:rsid w:val="00FE5B34"/>
    <w:rsid w:val="00FE6052"/>
    <w:rsid w:val="00FE62B4"/>
    <w:rsid w:val="00FE7C30"/>
    <w:rsid w:val="00FE7EA0"/>
    <w:rsid w:val="00FF04C2"/>
    <w:rsid w:val="00FF4E31"/>
    <w:rsid w:val="00FF544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uiPriority w:val="22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uiPriority w:val="22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consultantplus://offline/ref=B378B212A120A41DD829733BE037CF46FDA01847C60CC08880268466AB8DBF497438BEEB494F618AECF0BBE13B0B0D7D677F9736D8339D14n26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www.instagram.com/ktzn_lo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vk.com/ktzn_lo" TargetMode="External"/><Relationship Id="rId20" Type="http://schemas.openxmlformats.org/officeDocument/2006/relationships/hyperlink" Target="http://www.tt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&#1090;&#1077;&#1088;&#1088;&#1080;&#1090;&#1086;&#1088;&#1080;&#1103;&#1090;&#1088;&#1091;&#1076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5;&#1082;&#1072;&#1090;&#1077;&#1088;&#1080;&#1085;&#1072;\&#1040;&#1053;&#1040;&#1051;&#1048;&#1047;\2021\&#1040;&#1085;&#1072;&#1083;&#1080;&#1079;%20&#1079;&#1072;%209%20&#1084;&#1077;&#1089;&#1103;&#1094;&#1077;&#1074;%202021\&#1043;&#1088;&#1072;&#1092;&#1080;&#1082;%20&#1059;&#1056;&#1041;%209%20&#1084;&#1077;&#1089;%202021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20675499548844348"/>
          <c:y val="9.268159661860458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3767017759143744"/>
          <c:w val="0.89506193182805793"/>
          <c:h val="0.5220274738384974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  <c:spPr/>
          </c:dPt>
          <c:dLbls>
            <c:dLbl>
              <c:idx val="0"/>
              <c:layout>
                <c:manualLayout>
                  <c:x val="-4.4908881982308531E-2"/>
                  <c:y val="-8.4793946211269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05226464713456E-2"/>
                  <c:y val="-8.2999625046869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735005822607176E-2"/>
                  <c:y val="-9.6940382452193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480338096817233E-2"/>
                  <c:y val="-0.13171830793878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33678576661755E-2"/>
                  <c:y val="-0.109993523536830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953164644820966E-2"/>
                  <c:y val="-0.105516583154378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135628796395102E-2"/>
                  <c:y val="-8.8793212012393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12841052610119E-2"/>
                  <c:y val="-8.6993223234269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79232468972591E-2"/>
                  <c:y val="-6.225921284780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325132840275477E-2"/>
                  <c:y val="-4.9517333060640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894943397729932E-2"/>
                  <c:y val="-7.7632798210759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1959389801132542E-2"/>
                  <c:y val="-5.775030200707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14568672273E-2"/>
                  <c:y val="-5.013414450735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7168741004148676E-3"/>
                  <c:y val="-3.6376448784937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19441497706E-2"/>
                  <c:y val="-6.3479461093241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254807333144078E-2"/>
                  <c:y val="-6.8584714803440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Sheet1!$A$110:$A$119</c:f>
              <c:numCache>
                <c:formatCode>m/d/yyyy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Sheet1!$B$110:$B$119</c:f>
              <c:numCache>
                <c:formatCode>General</c:formatCode>
                <c:ptCount val="10"/>
                <c:pt idx="0">
                  <c:v>30169</c:v>
                </c:pt>
                <c:pt idx="1">
                  <c:v>27384</c:v>
                </c:pt>
                <c:pt idx="2">
                  <c:v>20403</c:v>
                </c:pt>
                <c:pt idx="3">
                  <c:v>12808</c:v>
                </c:pt>
                <c:pt idx="4">
                  <c:v>9486</c:v>
                </c:pt>
                <c:pt idx="5">
                  <c:v>7798</c:v>
                </c:pt>
                <c:pt idx="6">
                  <c:v>6133</c:v>
                </c:pt>
                <c:pt idx="7">
                  <c:v>5911</c:v>
                </c:pt>
                <c:pt idx="8">
                  <c:v>5697</c:v>
                </c:pt>
                <c:pt idx="9">
                  <c:v>5280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579328"/>
        <c:axId val="154580864"/>
      </c:lineChart>
      <c:dateAx>
        <c:axId val="1545793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58086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4580864"/>
        <c:scaling>
          <c:orientation val="minMax"/>
          <c:max val="4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579328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УРОВЕНЬ РЕГИСТРИРУЕМОЙ БЕЗРАБОТИЦЫ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1351080340963571"/>
          <c:y val="1.9231342212254213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57646896305143E-2"/>
          <c:y val="0.14627006763473452"/>
          <c:w val="0.92223901578866108"/>
          <c:h val="0.5426177813692142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1565710237336166E-2"/>
                  <c:y val="4.8902291468885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485335587037E-2"/>
                  <c:y val="7.418011578339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47348969795354E-2"/>
                  <c:y val="6.644831630088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006817646246229E-2"/>
                  <c:y val="6.0733462534050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5362901066E-2"/>
                  <c:y val="4.9225935172737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4998171668168E-2"/>
                  <c:y val="4.60192174773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004209226168709E-2"/>
                  <c:y val="4.5205252957838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888886180249139E-2"/>
                  <c:y val="4.312466965725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2275124747E-2"/>
                  <c:y val="4.948847338355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4406659582E-2"/>
                  <c:y val="5.198865621673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62956416162264E-2"/>
                  <c:y val="8.0590408922461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429240987733675E-2"/>
                  <c:y val="6.411525795047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78738371991E-2"/>
                  <c:y val="7.3230658159599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Лист2!$A$95:$A$104</c:f>
              <c:numCache>
                <c:formatCode>m/d/yyyy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Лист2!$B$95:$B$104</c:f>
              <c:numCache>
                <c:formatCode>General</c:formatCode>
                <c:ptCount val="10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 formatCode="0.00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4417574738142253E-2"/>
                  <c:y val="-4.72378603277000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98078811577126E-2"/>
                  <c:y val="-5.5433568771383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353534368575443E-2"/>
                  <c:y val="-7.063912953601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873113770995343E-2"/>
                  <c:y val="-9.137579162986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08045472644093E-2"/>
                  <c:y val="-9.1361509405596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151434631042638E-2"/>
                  <c:y val="-7.2408621953282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66538277142599E-2"/>
                  <c:y val="-7.5955123747956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276004973062577E-2"/>
                  <c:y val="-7.8807058425572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558120637397103E-2"/>
                  <c:y val="-7.157574276962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503766363569882E-2"/>
                  <c:y val="-6.4171537030424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409056010855787E-2"/>
                  <c:y val="-4.5683695025926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535241130572963E-2"/>
                  <c:y val="-4.2633847598318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1140214616030138E-2"/>
                  <c:y val="-4.490963019866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3295837917E-2"/>
                  <c:y val="-4.1880588097219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1397436927526915E-2"/>
                  <c:y val="-3.7103720774740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46687021161E-2"/>
                  <c:y val="-3.9820327337131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41376077990148E-2"/>
                  <c:y val="6.771102291075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Лист2!$A$95:$A$104</c:f>
              <c:numCache>
                <c:formatCode>m/d/yyyy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Лист2!$C$95:$C$104</c:f>
              <c:numCache>
                <c:formatCode>0.0</c:formatCode>
                <c:ptCount val="10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 formatCode="General">
                  <c:v>2.1</c:v>
                </c:pt>
                <c:pt idx="5" formatCode="General">
                  <c:v>1.8</c:v>
                </c:pt>
                <c:pt idx="6" formatCode="General">
                  <c:v>1.6</c:v>
                </c:pt>
                <c:pt idx="7" formatCode="General">
                  <c:v>1.4</c:v>
                </c:pt>
                <c:pt idx="8" formatCode="General">
                  <c:v>1.3</c:v>
                </c:pt>
                <c:pt idx="9" formatCode="General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159936"/>
        <c:axId val="155178112"/>
      </c:lineChart>
      <c:dateAx>
        <c:axId val="15515993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17811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517811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159936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26929296376652"/>
          <c:y val="0.92952774697912166"/>
          <c:w val="0.78746014877789583"/>
          <c:h val="5.0632911392405111E-2"/>
        </c:manualLayout>
      </c:layout>
      <c:overlay val="0"/>
      <c:txPr>
        <a:bodyPr/>
        <a:lstStyle/>
        <a:p>
          <a:pPr>
            <a:defRPr sz="105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5583400372167103"/>
          <c:y val="1.645669291338582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31308354257584E-2"/>
          <c:y val="0.14715211166785969"/>
          <c:w val="0.88518635170603677"/>
          <c:h val="0.6465257695060844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5.5003817062790391E-3"/>
                  <c:y val="2.53431907037185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2559339525283791E-3"/>
                  <c:y val="4.5454545454545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1919504643962852E-3"/>
                  <c:y val="4.5454545454545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Лист1!$A$109:$A$118</c:f>
              <c:numCache>
                <c:formatCode>dd/mm/yy;@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Лист1!$B$109:$B$118</c:f>
              <c:numCache>
                <c:formatCode>General</c:formatCode>
                <c:ptCount val="10"/>
                <c:pt idx="0">
                  <c:v>22085</c:v>
                </c:pt>
                <c:pt idx="1">
                  <c:v>22185</c:v>
                </c:pt>
                <c:pt idx="2">
                  <c:v>22302</c:v>
                </c:pt>
                <c:pt idx="3">
                  <c:v>24426</c:v>
                </c:pt>
                <c:pt idx="4">
                  <c:v>25361</c:v>
                </c:pt>
                <c:pt idx="5">
                  <c:v>32034</c:v>
                </c:pt>
                <c:pt idx="6">
                  <c:v>42647</c:v>
                </c:pt>
                <c:pt idx="7">
                  <c:v>41795</c:v>
                </c:pt>
                <c:pt idx="8">
                  <c:v>53797</c:v>
                </c:pt>
                <c:pt idx="9">
                  <c:v>53047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55224704"/>
        <c:axId val="155271552"/>
      </c:barChart>
      <c:dateAx>
        <c:axId val="15522470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2715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5271552"/>
        <c:scaling>
          <c:orientation val="minMax"/>
          <c:max val="6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224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0.09842</cdr:y>
    </cdr:from>
    <cdr:to>
      <cdr:x>0.05275</cdr:x>
      <cdr:y>0.16073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03665"/>
          <a:ext cx="324545" cy="192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0.05669</cdr:y>
    </cdr:from>
    <cdr:to>
      <cdr:x>0.06364</cdr:x>
      <cdr:y>0.11061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0.03279</cdr:x>
      <cdr:y>0.05376</cdr:y>
    </cdr:from>
    <cdr:to>
      <cdr:x>0.07495</cdr:x>
      <cdr:y>0.10415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1762" y="150211"/>
          <a:ext cx="259416" cy="140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CAE6-1A21-43BC-9DAA-9E77D18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9587</TotalTime>
  <Pages>31</Pages>
  <Words>12717</Words>
  <Characters>72491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Анна Викторовна Ермолинская</cp:lastModifiedBy>
  <cp:revision>377</cp:revision>
  <cp:lastPrinted>2021-10-08T07:56:00Z</cp:lastPrinted>
  <dcterms:created xsi:type="dcterms:W3CDTF">2019-04-22T13:29:00Z</dcterms:created>
  <dcterms:modified xsi:type="dcterms:W3CDTF">2021-10-21T06:18:00Z</dcterms:modified>
</cp:coreProperties>
</file>