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51BAA3B" wp14:editId="415E98D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19354F" wp14:editId="131EF80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61F218E" wp14:editId="135710B7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E2904F1" wp14:editId="56AF3777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:rsidR="00AB4A3D" w:rsidRPr="00AB4A3D" w:rsidRDefault="002C0EA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за </w:t>
            </w:r>
            <w:r w:rsidR="00BF6D6A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2017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</w:p>
          <w:p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EFA6A0" wp14:editId="76D80C28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9575809" wp14:editId="06D934B4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7924A" wp14:editId="644403DC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C6F89" w:rsidRDefault="00410492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8C6F89" w:rsidRDefault="00410492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B4A3D" w:rsidRPr="005B4D2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:rsidR="00AB4A3D" w:rsidRPr="005B4D21" w:rsidRDefault="00A01CD3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 </w:t>
      </w:r>
      <w:r w:rsidR="00032FDE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F77BD1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17</w:t>
      </w:r>
      <w:r w:rsidR="00AB4A3D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</w:t>
      </w:r>
    </w:p>
    <w:p w:rsidR="00AB4A3D" w:rsidRPr="0021164A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:rsidR="00336299" w:rsidRPr="00C35ED6" w:rsidRDefault="00A01CD3" w:rsidP="00336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</w:t>
      </w:r>
      <w:r w:rsidR="0021164A" w:rsidRPr="00C35ED6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C35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рынок труда Ленинградской области развивался стабильно с проявлением тенденции постепенного снижения регистрируемой безработицы. </w:t>
      </w:r>
      <w:r w:rsidR="00336299" w:rsidRPr="00C35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Начиная с апреля </w:t>
      </w:r>
      <w:r w:rsidR="00102C03" w:rsidRPr="00C35ED6">
        <w:rPr>
          <w:rFonts w:ascii="Times New Roman" w:eastAsia="Times New Roman" w:hAnsi="Times New Roman" w:cs="Times New Roman"/>
          <w:sz w:val="24"/>
          <w:szCs w:val="20"/>
          <w:lang w:eastAsia="ru-RU"/>
        </w:rPr>
        <w:t>2017</w:t>
      </w:r>
      <w:r w:rsidR="00336299" w:rsidRPr="00C35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года, наметилась тенденция постепенного снижения безработицы.</w:t>
      </w:r>
    </w:p>
    <w:p w:rsidR="00102C03" w:rsidRPr="00C35ED6" w:rsidRDefault="00102C03" w:rsidP="00F5577B">
      <w:pPr>
        <w:pStyle w:val="21"/>
        <w:rPr>
          <w:szCs w:val="20"/>
        </w:rPr>
      </w:pPr>
      <w:r w:rsidRPr="00C35ED6">
        <w:rPr>
          <w:szCs w:val="20"/>
        </w:rPr>
        <w:t>Безработица сократилась как к началу 2017 года, так и к соответствующему периоду                  2016 года.</w:t>
      </w:r>
    </w:p>
    <w:p w:rsidR="00AB4A3D" w:rsidRPr="00C35ED6" w:rsidRDefault="00AB4A3D" w:rsidP="00F5577B">
      <w:pPr>
        <w:pStyle w:val="21"/>
      </w:pPr>
      <w:r w:rsidRPr="00C35ED6">
        <w:tab/>
      </w:r>
      <w:r w:rsidRPr="00C35ED6">
        <w:rPr>
          <w:iCs/>
        </w:rPr>
        <w:t xml:space="preserve">Поддержанию стабильной ситуации </w:t>
      </w:r>
      <w:r w:rsidR="003D49E1" w:rsidRPr="00C35ED6">
        <w:rPr>
          <w:iCs/>
        </w:rPr>
        <w:t xml:space="preserve">и недопущению резкого роста безработицы </w:t>
      </w:r>
      <w:r w:rsidRPr="00C35ED6">
        <w:rPr>
          <w:iCs/>
        </w:rPr>
        <w:t>на рынке труда Ленинградской области</w:t>
      </w:r>
      <w:r w:rsidR="003D49E1" w:rsidRPr="00C35ED6">
        <w:rPr>
          <w:iCs/>
        </w:rPr>
        <w:t xml:space="preserve"> </w:t>
      </w:r>
      <w:r w:rsidRPr="00C35ED6">
        <w:rPr>
          <w:iCs/>
        </w:rPr>
        <w:t xml:space="preserve">способствовала </w:t>
      </w:r>
      <w:r w:rsidRPr="00C35ED6">
        <w:t xml:space="preserve">реализация </w:t>
      </w:r>
      <w:r w:rsidR="002976AA" w:rsidRPr="00C35ED6">
        <w:t xml:space="preserve">мероприятий </w:t>
      </w:r>
      <w:r w:rsidR="00A67216" w:rsidRPr="00C35ED6">
        <w:t>Г</w:t>
      </w:r>
      <w:r w:rsidRPr="00C35ED6">
        <w:t>осударственной программы Ленинградской области «Содействие занятости населения Ленинградской области»</w:t>
      </w:r>
      <w:r w:rsidR="00A67216" w:rsidRPr="00C35ED6">
        <w:t xml:space="preserve"> (далее – госпрограмма) </w:t>
      </w:r>
      <w:r w:rsidRPr="00C35ED6">
        <w:t xml:space="preserve">(утверждена постановлением Правительства Ленинградской области </w:t>
      </w:r>
      <w:r w:rsidR="0055041E" w:rsidRPr="00C35ED6">
        <w:t xml:space="preserve">                 </w:t>
      </w:r>
      <w:r w:rsidRPr="00C35ED6">
        <w:t>от 7 декабря 2015 года № 466).</w:t>
      </w:r>
    </w:p>
    <w:p w:rsidR="00B7440E" w:rsidRPr="00C35ED6" w:rsidRDefault="00336299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</w:t>
      </w:r>
      <w:r w:rsidR="00B7440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Ленинградская область продолжала сохранять среди субъектов 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7440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позицию региона с низким уровнем регистрируемой безработицы. </w:t>
      </w:r>
    </w:p>
    <w:p w:rsidR="00B7440E" w:rsidRPr="00C35ED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подан</w:t>
      </w:r>
      <w:r w:rsidR="005B4D21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90858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32082B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государственных услуг (далее – госуслуга).</w:t>
      </w:r>
    </w:p>
    <w:p w:rsidR="00B7440E" w:rsidRPr="00C35ED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госуслуги:</w:t>
      </w:r>
    </w:p>
    <w:p w:rsidR="00B7440E" w:rsidRPr="00C35ED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</w:t>
      </w:r>
      <w:r w:rsidR="005025BB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3117</w:t>
      </w:r>
      <w:r w:rsidR="0032082B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2082B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40E" w:rsidRPr="00C35ED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32082B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434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аботных граждан</w:t>
      </w:r>
      <w:r w:rsidR="002319D2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40E" w:rsidRPr="00C35ED6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социальной адаптации – 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C35ED6" w:rsidRDefault="005025BB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самозанятости – 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542</w:t>
      </w:r>
      <w:r w:rsidR="00B7440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440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40E" w:rsidRPr="00C35ED6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информированию о положении на рынке труда </w:t>
      </w:r>
      <w:r w:rsidR="005025BB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25940</w:t>
      </w:r>
      <w:r w:rsidR="002319D2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4260</w:t>
      </w:r>
      <w:r w:rsidR="002319D2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</w:t>
      </w:r>
      <w:r w:rsidR="005B4D21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:rsidR="00E9767A" w:rsidRPr="00CB17C8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B062F" w:rsidRPr="00C35ED6" w:rsidRDefault="00AB4A3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74A99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в службу занятости за содействием в поиске подходящей работы </w:t>
      </w:r>
      <w:r w:rsidR="009B0CC7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8745</w:t>
      </w:r>
      <w:r w:rsidR="00932FE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9B0CC7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932FE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932FE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77B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201</w:t>
      </w:r>
      <w:r w:rsidR="00874A99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2FE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1164A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2FE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91D" w:rsidRPr="00C35ED6" w:rsidRDefault="00E1791D" w:rsidP="00E179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5B062F" w:rsidRPr="00C35ED6" w:rsidRDefault="00F47756" w:rsidP="00E17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области, работавшие в </w:t>
      </w:r>
      <w:r w:rsidR="005B062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 и других регионах, и уволенные</w:t>
      </w:r>
      <w:r w:rsidR="00C151CC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B062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причинам. С начала 201</w:t>
      </w:r>
      <w:r w:rsidR="00874A99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062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025BB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62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3314 </w:t>
      </w:r>
      <w:r w:rsidR="006C72C6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жителей</w:t>
      </w:r>
      <w:r w:rsidR="005B062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(обративши</w:t>
      </w:r>
      <w:r w:rsidR="0023563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74A99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151CC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5577B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</w:t>
      </w:r>
      <w:r w:rsidR="0023563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532</w:t>
      </w:r>
      <w:r w:rsidR="00ED2426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2426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в</w:t>
      </w:r>
      <w:r w:rsidR="005B062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63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20FB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4A99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062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26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3852</w:t>
      </w:r>
      <w:r w:rsidR="005025BB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2426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62F" w:rsidRPr="00C35ED6" w:rsidRDefault="005B4D21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уволенные в связи с ликвидацией организации, либо сокращением численности или штата работников организации, </w:t>
      </w:r>
      <w:r w:rsidR="00C151CC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3267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024F5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4F5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24F5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5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ьше, чем в 201</w:t>
      </w:r>
      <w:r w:rsidR="00CF4D6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1F3" w:rsidRPr="00C35ED6" w:rsidRDefault="00E1791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в наибольшей степени испытывали трудности в </w:t>
      </w:r>
      <w:r w:rsidR="003841F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поиске работы, </w:t>
      </w:r>
      <w:r w:rsidR="005B4D21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3841F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791D" w:rsidRPr="00C35ED6" w:rsidRDefault="00D3494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795</w:t>
      </w:r>
      <w:r w:rsidR="00E1791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="00CF4D6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41F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обратившихся в поиске подходящей работы);</w:t>
      </w:r>
    </w:p>
    <w:p w:rsidR="00EB3863" w:rsidRPr="00C35ED6" w:rsidRDefault="00D3494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873</w:t>
      </w:r>
      <w:r w:rsidR="00CF4D64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63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B4D21" w:rsidRPr="00C35ED6" w:rsidRDefault="00DC4638" w:rsidP="0056272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4177</w:t>
      </w:r>
      <w:r w:rsidR="00C151CC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D2426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272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стремящи</w:t>
      </w:r>
      <w:r w:rsidR="0056272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возобновить трудовую деятельность после длительного (более года) перерыва</w:t>
      </w:r>
      <w:r w:rsidR="00ED2426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41F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5B4D21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863" w:rsidRPr="00C35ED6" w:rsidRDefault="00DC4638" w:rsidP="0056272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3700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3494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</w:t>
      </w:r>
      <w:r w:rsidR="0056272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</w:t>
      </w:r>
      <w:r w:rsidR="005B4D21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494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6272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C15AC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B4A3D" w:rsidRPr="00C35ED6" w:rsidRDefault="00C151CC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обратившихся в поиске подходящей работы</w:t>
      </w:r>
      <w:r w:rsidR="00B9439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494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8745</w:t>
      </w:r>
      <w:r w:rsidR="00B9439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C35ED6" w:rsidRDefault="00AB4A3D" w:rsidP="00AB4A3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</w:t>
      </w:r>
      <w:r w:rsidR="00F47F80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–</w:t>
      </w:r>
      <w:r w:rsidR="00C151CC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D3494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</w:t>
      </w:r>
      <w:r w:rsidR="00C118D2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D3494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B4A3D" w:rsidRPr="00C35ED6" w:rsidRDefault="00545D51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49,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</w:t>
      </w:r>
      <w:r w:rsidR="00C32C00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6745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50,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613B3" w:rsidRPr="00C35ED6" w:rsidRDefault="00FF5447" w:rsidP="00FF544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ABE49" wp14:editId="0612EFAF">
                <wp:simplePos x="0" y="0"/>
                <wp:positionH relativeFrom="column">
                  <wp:posOffset>170180</wp:posOffset>
                </wp:positionH>
                <wp:positionV relativeFrom="paragraph">
                  <wp:posOffset>376555</wp:posOffset>
                </wp:positionV>
                <wp:extent cx="5997575" cy="1064895"/>
                <wp:effectExtent l="38100" t="38100" r="117475" b="11620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064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F89" w:rsidRPr="005F023C" w:rsidRDefault="008C6F89" w:rsidP="005F023C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023C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января</w:t>
                            </w:r>
                            <w:r w:rsidRPr="005F023C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5F023C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состояли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4739</w:t>
                            </w:r>
                            <w:r w:rsidRPr="005F023C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8C6F89" w:rsidRPr="005F023C" w:rsidRDefault="008C6F89" w:rsidP="005F023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C6F89" w:rsidRPr="00C35ED6" w:rsidRDefault="008C6F89" w:rsidP="005F023C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35E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 593 человека меньше, чем на 1 января 2017 года;</w:t>
                            </w:r>
                          </w:p>
                          <w:p w:rsidR="008C6F89" w:rsidRPr="00C35ED6" w:rsidRDefault="008C6F89" w:rsidP="005F023C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35E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 294 человека меньше, чем на 1 декабря 2017 года</w:t>
                            </w:r>
                          </w:p>
                          <w:p w:rsidR="008C6F89" w:rsidRPr="005F023C" w:rsidRDefault="008C6F89" w:rsidP="001613B3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rPr>
                                <w:color w:val="000000"/>
                              </w:rPr>
                            </w:pPr>
                          </w:p>
                          <w:p w:rsidR="008C6F89" w:rsidRDefault="008C6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13.4pt;margin-top:29.65pt;width:472.2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C6F89" w:rsidRPr="005F023C" w:rsidRDefault="008C6F89" w:rsidP="005F023C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5F023C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января</w:t>
                      </w:r>
                      <w:r w:rsidRPr="005F023C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5F023C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состояли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4739</w:t>
                      </w:r>
                      <w:r w:rsidRPr="005F023C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8C6F89" w:rsidRPr="005F023C" w:rsidRDefault="008C6F89" w:rsidP="005F023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C6F89" w:rsidRPr="00C35ED6" w:rsidRDefault="008C6F89" w:rsidP="005F023C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after="0" w:line="240" w:lineRule="auto"/>
                        <w:ind w:left="156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35E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 593 человека меньше, чем на 1 января 2017 года;</w:t>
                      </w:r>
                    </w:p>
                    <w:p w:rsidR="008C6F89" w:rsidRPr="00C35ED6" w:rsidRDefault="008C6F89" w:rsidP="005F023C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after="0" w:line="240" w:lineRule="auto"/>
                        <w:ind w:left="156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35E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 294 человека меньше, чем на 1 декабря 2017 года</w:t>
                      </w:r>
                    </w:p>
                    <w:p w:rsidR="008C6F89" w:rsidRPr="005F023C" w:rsidRDefault="008C6F89" w:rsidP="001613B3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rPr>
                          <w:color w:val="000000"/>
                        </w:rPr>
                      </w:pPr>
                    </w:p>
                    <w:p w:rsidR="008C6F89" w:rsidRDefault="008C6F89"/>
                  </w:txbxContent>
                </v:textbox>
                <w10:wrap type="square"/>
              </v:shape>
            </w:pict>
          </mc:Fallback>
        </mc:AlternateConten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</w:t>
      </w:r>
      <w:r w:rsidR="00F47F80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 </w:t>
      </w:r>
      <w:r w:rsidR="00C151CC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A67458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="003F45FE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4A3D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D04D2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04D2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7EF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5ED6" w:rsidRPr="00C35ED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A77F0D" w:rsidRDefault="00AB4A3D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77F0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Безработные граждане</w:t>
      </w:r>
    </w:p>
    <w:p w:rsidR="009D5AC5" w:rsidRPr="009A32F4" w:rsidRDefault="009D5AC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573C" w:rsidRPr="00E5490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973FA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268B8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безработными </w:t>
      </w:r>
      <w:r w:rsidR="00C268B8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9672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7D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8B8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5903F3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268B8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1266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в 201</w:t>
      </w:r>
      <w:r w:rsidR="00D973FA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268B8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268B8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10938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AB4A3D" w:rsidRPr="00E54906" w:rsidRDefault="00B172B2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D973FA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017 год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73FA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 поставлено от 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2E5A08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1E1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(2</w:t>
      </w:r>
      <w:r w:rsidR="0002573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5CB1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зарегистрированных безработных граждан) до 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1006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 Гатчинском муниципальном районе (1</w:t>
      </w:r>
      <w:r w:rsidR="00E51E1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E54906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10307</w:t>
      </w:r>
      <w:r w:rsidR="00AE7FEE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</w:t>
      </w:r>
      <w:r w:rsidR="0063157A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="00A45EC3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с:</w:t>
      </w:r>
    </w:p>
    <w:p w:rsidR="00AB4A3D" w:rsidRPr="00E54906" w:rsidRDefault="00AB4A3D" w:rsidP="00AB4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E5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5208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FEE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8040B" w:rsidRPr="00E54906" w:rsidRDefault="0088040B" w:rsidP="008804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E5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F7C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2E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B4A3D" w:rsidRPr="00E54906" w:rsidRDefault="00AB4A3D" w:rsidP="00AB4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причинам – 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3723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AE7FEE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B172B2" w:rsidRDefault="006C15E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224FC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712E30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безработных граждан, зарегистрированных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70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занятости</w:t>
      </w:r>
      <w:r w:rsidR="00EE375E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5B4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607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1035B4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начале 201</w:t>
      </w:r>
      <w:r w:rsidR="00224FC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224FC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063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24FCD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72B2" w:rsidRPr="00E54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5B4" w:rsidRPr="00B172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FF5447" w:rsidRPr="00B172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</w:t>
      </w:r>
    </w:p>
    <w:p w:rsidR="000E5E5F" w:rsidRPr="009A32F4" w:rsidRDefault="000E5E5F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F8" w:rsidRPr="00AC2BB0" w:rsidRDefault="00E54906" w:rsidP="00E549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BB5B66" wp14:editId="16AE077D">
            <wp:extent cx="6233823" cy="3601941"/>
            <wp:effectExtent l="0" t="0" r="1460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4A3D" w:rsidRPr="00B172B2" w:rsidRDefault="00AB4A3D" w:rsidP="001C0C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B0" w:rsidRPr="00AC2BB0" w:rsidRDefault="00AC2BB0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917BB6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безработных граждан к </w:t>
      </w:r>
      <w:r w:rsidR="00A45EC3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началу </w:t>
      </w:r>
      <w:r w:rsidR="00B172B2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="00224FCD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172B2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сравнению</w:t>
      </w:r>
      <w:r w:rsidR="007375F7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началом </w:t>
      </w:r>
      <w:r w:rsidR="007375F7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6272E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24FCD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отмечено в</w:t>
      </w:r>
      <w:r w:rsidR="008254FC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53F6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</w:t>
      </w:r>
      <w:r w:rsidR="00FE6052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районах и Сосновоборском городском округе. </w:t>
      </w:r>
      <w:r w:rsidR="00A84743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A2129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езначительное</w:t>
      </w:r>
      <w:r w:rsidR="00C151CC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увеличение </w:t>
      </w:r>
      <w:r w:rsidR="00CA3069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безработных граждан </w:t>
      </w:r>
      <w:r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наблюдалось в </w:t>
      </w:r>
      <w:proofErr w:type="gramStart"/>
      <w:r w:rsidR="00AC2BB0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Выборгском</w:t>
      </w:r>
      <w:proofErr w:type="gramEnd"/>
      <w:r w:rsidR="00AC2BB0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3353F6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Кингисеппском</w:t>
      </w:r>
      <w:proofErr w:type="spellEnd"/>
      <w:r w:rsidR="003353F6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3353F6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AC2BB0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Приозерском</w:t>
      </w:r>
      <w:r w:rsidR="00506786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6052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районах</w:t>
      </w:r>
      <w:r w:rsidR="00506786" w:rsidRPr="0091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5025BB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DD2A82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Состав безработных граждан </w:t>
      </w:r>
    </w:p>
    <w:p w:rsidR="00AB4A3D" w:rsidRPr="00FF5447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93F92" w:rsidRPr="00917BB6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C718C8"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18C8"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(3</w:t>
      </w:r>
      <w:r w:rsidR="00C718C8"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человек):</w:t>
      </w:r>
    </w:p>
    <w:p w:rsidR="00493F92" w:rsidRPr="00917BB6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осуществлявших трудовую деятельность – 32</w:t>
      </w:r>
      <w:r w:rsidR="00C718C8"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(92,</w:t>
      </w:r>
      <w:r w:rsidR="00C718C8"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t>%), из них:</w:t>
      </w:r>
      <w:r w:rsidRPr="0091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18C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ab/>
      </w:r>
      <w:r w:rsidRPr="00917BB6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по причинам прекращения трудовой деятельности: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 по собственному желанию – 1</w:t>
      </w:r>
      <w:r w:rsidR="00C718C8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779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(5</w:t>
      </w:r>
      <w:r w:rsidR="00C718C8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8C8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уволенные по соглашению сторон – </w:t>
      </w:r>
      <w:r w:rsidR="00C718C8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C718C8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8C8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C718C8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711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(2</w:t>
      </w:r>
      <w:r w:rsidR="00C718C8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8C8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уволенные с государственной службы – </w:t>
      </w:r>
      <w:r w:rsidR="00C718C8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(1,</w:t>
      </w:r>
      <w:r w:rsidR="00C718C8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proofErr w:type="gramEnd"/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E86184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по профессионально-квалификационному составу: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работавшие по профессии рабочего – 1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836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(5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работавшие на должности служащего – 1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(4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493F92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93F9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Из 3</w:t>
      </w:r>
      <w:r w:rsidR="00B80C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456</w:t>
      </w:r>
      <w:r w:rsidRPr="00493F9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граждан: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E86184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по возрасту: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16-17 лет – 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(0,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18-19 лет – 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(2,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20-24 года – 2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CC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25-29 лет – 25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(7,2%);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30-49 лет – 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1778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(51,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и старше – 11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(32,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E86184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по образованию: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 – 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986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проф. образование – 1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469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(42,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– 5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– 3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имеющие основного общего образования – 6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(1,</w:t>
      </w:r>
      <w:r w:rsidR="00E43A52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E86184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:rsidR="00493F92" w:rsidRPr="00E86184" w:rsidRDefault="00493F92" w:rsidP="00493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7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(22%);</w:t>
      </w:r>
    </w:p>
    <w:p w:rsidR="00493F92" w:rsidRPr="00E86184" w:rsidRDefault="00493F92" w:rsidP="00493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5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(1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6C72C6" w:rsidRPr="00E86184" w:rsidRDefault="006C72C6" w:rsidP="006C7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предпенсионного возраста – 4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93F92" w:rsidRPr="00E8618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впервые ищущих работу (ранее не работавших), – 2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(7,</w:t>
      </w:r>
      <w:r w:rsidR="00143B20"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18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E5E5F" w:rsidRPr="000E5E5F" w:rsidRDefault="000E5E5F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AB4A3D" w:rsidRPr="00076E68" w:rsidRDefault="00AF6E7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безработных граждан </w:t>
      </w:r>
      <w:r w:rsidR="00AB4A3D" w:rsidRPr="00076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</w:t>
      </w:r>
      <w:r w:rsidR="000E5E5F" w:rsidRPr="00076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должительности безработицы</w:t>
      </w:r>
    </w:p>
    <w:p w:rsidR="000E5E5F" w:rsidRPr="00076E68" w:rsidRDefault="000E5E5F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20"/>
        <w:gridCol w:w="955"/>
        <w:gridCol w:w="51"/>
        <w:gridCol w:w="576"/>
        <w:gridCol w:w="864"/>
        <w:gridCol w:w="81"/>
        <w:gridCol w:w="639"/>
        <w:gridCol w:w="863"/>
        <w:gridCol w:w="269"/>
        <w:gridCol w:w="595"/>
        <w:gridCol w:w="863"/>
      </w:tblGrid>
      <w:tr w:rsidR="00AB4A3D" w:rsidRPr="00076E68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4A3D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молодежь в</w:t>
            </w:r>
          </w:p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 16-29 лет, чел.</w:t>
            </w: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8F314B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8F314B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314B" w:rsidRPr="00076E68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BD4652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BD4652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4063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BD4652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BD4652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BD4652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BD4652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BD4652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BD4652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BD4652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BD4652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BD4652" w:rsidRDefault="00B573B5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949</w:t>
            </w:r>
          </w:p>
        </w:tc>
      </w:tr>
      <w:tr w:rsidR="008F314B" w:rsidRPr="00076E68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8F314B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8F314B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8F314B" w:rsidRPr="00076E68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8F314B" w:rsidRPr="00076E68" w:rsidTr="00E03812">
        <w:trPr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076E68" w:rsidRDefault="00B573B5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8F314B" w:rsidRPr="00076E68" w:rsidTr="00FE0BA2">
        <w:trPr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14B" w:rsidRPr="00BD4652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14B" w:rsidRPr="00BD4652" w:rsidRDefault="008F314B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14B" w:rsidRPr="00BD4652" w:rsidRDefault="00B573B5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14B" w:rsidRPr="00BD4652" w:rsidRDefault="008F314B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14B" w:rsidRPr="00BD4652" w:rsidRDefault="00B573B5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14B" w:rsidRPr="00BD4652" w:rsidRDefault="008F314B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14B" w:rsidRPr="00BD4652" w:rsidRDefault="00B573B5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14B" w:rsidRPr="00BD4652" w:rsidRDefault="008F314B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14B" w:rsidRPr="00BD4652" w:rsidRDefault="00B573B5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14B" w:rsidRPr="00BD4652" w:rsidRDefault="008F314B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14B" w:rsidRPr="00BD4652" w:rsidRDefault="00B573B5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</w:tr>
    </w:tbl>
    <w:p w:rsidR="00F76047" w:rsidRPr="00076E68" w:rsidRDefault="00F7604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43BC" w:rsidRPr="00BD4652" w:rsidRDefault="00FE3BDD" w:rsidP="008D7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продолжительность периода безработицы в целом по Ленинградской области           к началу 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4,6 месяца (в нача</w:t>
      </w:r>
      <w:r w:rsidR="000E5E5F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текущего года - 4,3 месяца).</w:t>
      </w:r>
    </w:p>
    <w:p w:rsidR="00076E68" w:rsidRDefault="00076E68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3D3522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D352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BD4652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в Ленинградской области на 01.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478A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1EB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значение 0,3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2892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892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0,0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пункта (</w:t>
      </w:r>
      <w:r w:rsidR="00DA478A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п/п)</w:t>
      </w:r>
      <w:r w:rsidR="00462892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ниже,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начале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5275E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(0,4</w:t>
      </w:r>
      <w:r w:rsidR="0095275E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42BE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73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47835" w:rsidRPr="00BD4652" w:rsidRDefault="00F47835" w:rsidP="00F4783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среднеобластном уровне регистрируемой безработицы в начале 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0,3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территориям этот показатель имел значение: от 0,1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proofErr w:type="spellStart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076E68" w:rsidRPr="00BD4652" w:rsidRDefault="001C2908" w:rsidP="00BD465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822EAC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B6A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0B6A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D4652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6E68" w:rsidRPr="00BD4652" w:rsidRDefault="00AF7F71" w:rsidP="00076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регистрируемой безработицы отмечено</w:t>
      </w:r>
      <w:r w:rsidR="00076E68" w:rsidRPr="00BD4652">
        <w:t xml:space="preserve"> </w:t>
      </w:r>
      <w:proofErr w:type="spellStart"/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Гатчинском, </w:t>
      </w:r>
      <w:proofErr w:type="spellStart"/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районах;</w:t>
      </w:r>
    </w:p>
    <w:p w:rsidR="00076E68" w:rsidRPr="00BD4652" w:rsidRDefault="00076E68" w:rsidP="00076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не изменился во  Всеволожском, Выборгском, Кировском муниципальных районах;</w:t>
      </w:r>
    </w:p>
    <w:p w:rsidR="005D602A" w:rsidRPr="00BD4652" w:rsidRDefault="00076E68" w:rsidP="00076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увеличился в Бокситогорском, </w:t>
      </w:r>
      <w:proofErr w:type="spellStart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Ломоносовском, </w:t>
      </w:r>
      <w:proofErr w:type="spellStart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Приозерском, </w:t>
      </w:r>
      <w:proofErr w:type="spellStart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Тихвинском муниципальных районах и Сосновоборском городском округе.</w:t>
      </w:r>
      <w:r w:rsidR="00AF7F71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3EA" w:rsidRPr="00BD4652" w:rsidRDefault="00D943EA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продолжает входить в ограниченное число субъектов Российской Федерации, имеющих низкую регистрируемую безработицу. </w:t>
      </w:r>
    </w:p>
    <w:p w:rsidR="009F2781" w:rsidRPr="00BD4652" w:rsidRDefault="009F2781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6E68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Ленинградской</w:t>
      </w:r>
      <w:r w:rsidR="00972835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835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Липецкой, Нижегородской </w:t>
      </w:r>
      <w:r w:rsidR="001F6C76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областях, </w:t>
      </w:r>
      <w:r w:rsidR="00972835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F6C76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Москве </w:t>
      </w:r>
      <w:r w:rsidR="001F6C76"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г. Санкт-Петербург </w:t>
      </w:r>
      <w:r w:rsidRPr="00BD46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показатель – 0,4%, в г. Севастополе – 0,2%.</w:t>
      </w:r>
    </w:p>
    <w:p w:rsidR="00AB4A3D" w:rsidRPr="00AB4A3D" w:rsidRDefault="00AB4A3D" w:rsidP="000731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5DCA" w:rsidRPr="003575EB" w:rsidRDefault="00F00746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4652">
        <w:rPr>
          <w:noProof/>
          <w:lang w:eastAsia="ru-RU"/>
        </w:rPr>
        <w:drawing>
          <wp:inline distT="0" distB="0" distL="0" distR="0" wp14:anchorId="427ED8DC" wp14:editId="04C53AD9">
            <wp:extent cx="6154310" cy="3490623"/>
            <wp:effectExtent l="0" t="0" r="18415" b="146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4525" w:rsidRDefault="000F452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4C42DF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3607B" w:rsidRPr="004C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</w:t>
      </w:r>
      <w:r w:rsidR="00DA478A" w:rsidRPr="004C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3B47C5" w:rsidRPr="004C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C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работодателями, в части предоставления информации </w:t>
      </w:r>
      <w:r w:rsidR="007D6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4C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потребности в рабочей силе и подбора необходимых кадров, оставалось одним из важных направлений деятельности службы занятости. </w:t>
      </w:r>
    </w:p>
    <w:p w:rsidR="00AB4A3D" w:rsidRPr="004C42DF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заявкам работодателей, в соответствии </w:t>
      </w:r>
      <w:r w:rsidR="00DA478A" w:rsidRPr="004C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их критериями осуществлялся</w:t>
      </w:r>
      <w:r w:rsidRPr="004C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работников нужной профессии и квалификации.</w:t>
      </w:r>
    </w:p>
    <w:p w:rsidR="00AB4A3D" w:rsidRPr="004C42DF" w:rsidRDefault="003B47C5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607B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AB4A3D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4A3D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работодателями: </w:t>
      </w:r>
    </w:p>
    <w:p w:rsidR="00AB4A3D" w:rsidRPr="004C42DF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3B47C5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83423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3B47C5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478A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3B47C5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947" w:rsidRPr="004C42DF" w:rsidRDefault="00AB4A3D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с учета по различным причинам, в том числе в связи с трудоустройством</w:t>
      </w:r>
      <w:r w:rsidR="0070659A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309F0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граждан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8DC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79854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A45413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7947" w:rsidRPr="004C42DF" w:rsidRDefault="00B47947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:rsidR="00B47947" w:rsidRPr="004C42DF" w:rsidRDefault="00A45413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68DC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668DC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7947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7947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17,</w:t>
      </w:r>
      <w:r w:rsidR="002668DC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7947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</w:t>
      </w:r>
      <w:r w:rsidR="008D7621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7947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</w:t>
      </w:r>
      <w:r w:rsidR="009711B2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организациями</w:t>
      </w:r>
      <w:r w:rsidR="00B47947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формы собственности;</w:t>
      </w:r>
    </w:p>
    <w:p w:rsidR="00B47947" w:rsidRPr="004C42DF" w:rsidRDefault="002668DC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12395</w:t>
      </w:r>
      <w:r w:rsidR="00A45413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947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</w:t>
      </w:r>
      <w:r w:rsidR="00F3607B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7947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14,9</w:t>
      </w:r>
      <w:r w:rsidR="00B47947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муниципальной формы собственности;</w:t>
      </w:r>
    </w:p>
    <w:p w:rsidR="00B47947" w:rsidRPr="004C42DF" w:rsidRDefault="004443C4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56676</w:t>
      </w:r>
      <w:r w:rsidR="00B47947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67,9</w:t>
      </w:r>
      <w:r w:rsidR="00B47947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</w:t>
      </w:r>
      <w:r w:rsidR="009711B2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</w:t>
      </w:r>
      <w:r w:rsidR="00B47947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собственности.</w:t>
      </w:r>
    </w:p>
    <w:p w:rsidR="00AB4A3D" w:rsidRPr="004C42DF" w:rsidRDefault="0085122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BD5A40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AB4A3D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D5A40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текущий спрос на рабочую силу составлял </w:t>
      </w:r>
      <w:r w:rsidR="00BD5A40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18683</w:t>
      </w:r>
      <w:r w:rsidR="00AB4A3D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BD5A40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что на </w:t>
      </w:r>
      <w:r w:rsidR="00A44FCF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3569</w:t>
      </w:r>
      <w:r w:rsidR="009309F0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вакансий больше, чем в начале 201</w:t>
      </w:r>
      <w:r w:rsidR="00F3607B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F3607B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15114</w:t>
      </w:r>
      <w:r w:rsidR="00AB4A3D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F3607B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4FCF" w:rsidRPr="004C42DF" w:rsidRDefault="00EF634D" w:rsidP="00A4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территориям заявленные вакансии распределились следующим образом</w:t>
      </w:r>
      <w:r w:rsidR="00910704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44FCF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238 единиц                               (1,3% от текущего спроса на рабочую силу) в </w:t>
      </w:r>
      <w:proofErr w:type="spellStart"/>
      <w:r w:rsidR="00A44FCF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="00A44FCF" w:rsidRPr="004C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3980 единиц (21,3%) во Всеволожском муниципальном районе. </w:t>
      </w:r>
    </w:p>
    <w:p w:rsidR="00910704" w:rsidRPr="000C4B0E" w:rsidRDefault="00910704" w:rsidP="009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B4A3D" w:rsidRPr="000C4B0E" w:rsidRDefault="004C42DF" w:rsidP="004C4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405B89" wp14:editId="530459E8">
            <wp:extent cx="6154310" cy="3490622"/>
            <wp:effectExtent l="0" t="0" r="18415" b="146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4A3D" w:rsidRPr="000C4B0E" w:rsidRDefault="00AB4A3D" w:rsidP="00DD495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B4A3D" w:rsidRPr="000C4B0E" w:rsidRDefault="00AB4A3D" w:rsidP="00AB4A3D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color w:val="0070C0"/>
          <w:sz w:val="4"/>
          <w:szCs w:val="4"/>
          <w:lang w:eastAsia="ru-RU"/>
        </w:rPr>
      </w:pPr>
    </w:p>
    <w:p w:rsidR="00AB4A3D" w:rsidRPr="000C4B0E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ru-RU"/>
        </w:rPr>
      </w:pPr>
    </w:p>
    <w:p w:rsidR="000F331B" w:rsidRPr="00E74F0E" w:rsidRDefault="00AB4A3D" w:rsidP="000F331B">
      <w:pPr>
        <w:pStyle w:val="a3"/>
        <w:ind w:firstLine="709"/>
        <w:contextualSpacing/>
        <w:jc w:val="both"/>
        <w:rPr>
          <w:b w:val="0"/>
          <w:bCs w:val="0"/>
        </w:rPr>
      </w:pPr>
      <w:r w:rsidRPr="00E74F0E">
        <w:rPr>
          <w:b w:val="0"/>
          <w:bCs w:val="0"/>
        </w:rPr>
        <w:t xml:space="preserve">Из </w:t>
      </w:r>
      <w:r w:rsidR="000F331B" w:rsidRPr="00E74F0E">
        <w:rPr>
          <w:b w:val="0"/>
          <w:bCs w:val="0"/>
        </w:rPr>
        <w:t>18683</w:t>
      </w:r>
      <w:r w:rsidRPr="00E74F0E">
        <w:rPr>
          <w:b w:val="0"/>
          <w:bCs w:val="0"/>
        </w:rPr>
        <w:t xml:space="preserve"> заявленн</w:t>
      </w:r>
      <w:r w:rsidR="000F331B" w:rsidRPr="00E74F0E">
        <w:rPr>
          <w:b w:val="0"/>
          <w:bCs w:val="0"/>
        </w:rPr>
        <w:t>ых</w:t>
      </w:r>
      <w:r w:rsidRPr="00E74F0E">
        <w:rPr>
          <w:b w:val="0"/>
          <w:bCs w:val="0"/>
        </w:rPr>
        <w:t xml:space="preserve"> работодателями ваканси</w:t>
      </w:r>
      <w:r w:rsidR="000F331B" w:rsidRPr="00E74F0E">
        <w:rPr>
          <w:b w:val="0"/>
          <w:bCs w:val="0"/>
        </w:rPr>
        <w:t>й</w:t>
      </w:r>
      <w:r w:rsidRPr="00E74F0E">
        <w:rPr>
          <w:b w:val="0"/>
          <w:bCs w:val="0"/>
        </w:rPr>
        <w:t xml:space="preserve"> (текущий спрос) </w:t>
      </w:r>
      <w:r w:rsidR="00A45413" w:rsidRPr="00E74F0E">
        <w:rPr>
          <w:b w:val="0"/>
          <w:bCs w:val="0"/>
        </w:rPr>
        <w:t xml:space="preserve">для трудоустройства рабочих предлагались </w:t>
      </w:r>
      <w:r w:rsidR="000F331B" w:rsidRPr="00E74F0E">
        <w:rPr>
          <w:b w:val="0"/>
          <w:bCs w:val="0"/>
        </w:rPr>
        <w:t>12257 вакансий (65,6%), для инженерно-технических работников</w:t>
      </w:r>
      <w:r w:rsidR="007D6A4F">
        <w:rPr>
          <w:b w:val="0"/>
          <w:bCs w:val="0"/>
        </w:rPr>
        <w:t xml:space="preserve">                          </w:t>
      </w:r>
      <w:r w:rsidR="000F331B" w:rsidRPr="00E74F0E">
        <w:rPr>
          <w:b w:val="0"/>
          <w:bCs w:val="0"/>
        </w:rPr>
        <w:t xml:space="preserve"> и служащих – 6426 вакансий (34,4%).</w:t>
      </w:r>
    </w:p>
    <w:p w:rsidR="000F331B" w:rsidRPr="00E74F0E" w:rsidRDefault="001D7FD3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на</w:t>
      </w:r>
      <w:r w:rsidR="00A45413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ибольшую потребность в кадрах испытывала сфера </w:t>
      </w:r>
      <w:r w:rsidR="000F331B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«строительство» – 4076 вакансий (21,8% от общего числа вакансий – 18683 единицы), далее </w:t>
      </w:r>
      <w:r w:rsidR="007D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F331B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экономической деятельности: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3132 вакансии (16,8%);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2620 вакансий (14%);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1596 вакансий (8,5%);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 – 1333 вакансии (7,1%);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1299 вакансий (7%);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мотоциклов – 1174 вакансии (6,3%);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787 вакансий (4,2%);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649 вакансий (3,5%);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390 вакансий (2,1%);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– 375 вакансий (2%);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 кондиционирование воздуха –</w:t>
      </w:r>
      <w:r w:rsidR="007D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 вакансии (1,4%);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 страховая – 261 вакансия (1,4%)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255 вакансий (1,4%) и т.д.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рабочих профессий заявлено</w:t>
      </w:r>
      <w:r w:rsidR="007D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7676 вакансий (41,1% от текущего спроса на рабочую силу). Предложение рабочей силы по этой группе профессий в 6,4 раза меньше спроса. </w:t>
      </w:r>
    </w:p>
    <w:p w:rsidR="000F331B" w:rsidRPr="000C4B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ru-RU"/>
        </w:rPr>
      </w:pPr>
    </w:p>
    <w:p w:rsidR="000F331B" w:rsidRPr="000C4B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0C4B0E" w:rsidRPr="000C4B0E" w:rsidTr="007D1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швея – 1306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маляр, штукатур – 384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повар – 120</w:t>
            </w:r>
          </w:p>
        </w:tc>
      </w:tr>
      <w:tr w:rsidR="000C4B0E" w:rsidRPr="000C4B0E" w:rsidTr="007D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водитель – 992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электрогазосварщик – 314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электромонтажник – 98</w:t>
            </w:r>
          </w:p>
        </w:tc>
      </w:tr>
      <w:tr w:rsidR="000C4B0E" w:rsidRPr="000C4B0E" w:rsidTr="007D1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оператор – 689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сварщик – 306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тракторист – 83</w:t>
            </w:r>
          </w:p>
        </w:tc>
      </w:tr>
      <w:tr w:rsidR="000C4B0E" w:rsidRPr="000C4B0E" w:rsidTr="007D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монтажник – 684</w:t>
            </w:r>
          </w:p>
        </w:tc>
        <w:tc>
          <w:tcPr>
            <w:tcW w:w="3827" w:type="dxa"/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плотник – 293</w:t>
            </w:r>
          </w:p>
        </w:tc>
        <w:tc>
          <w:tcPr>
            <w:tcW w:w="2835" w:type="dxa"/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электросварщик – 72</w:t>
            </w:r>
          </w:p>
        </w:tc>
      </w:tr>
      <w:tr w:rsidR="000C4B0E" w:rsidRPr="000C4B0E" w:rsidTr="007D1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слесарь – 677</w:t>
            </w:r>
          </w:p>
        </w:tc>
        <w:tc>
          <w:tcPr>
            <w:tcW w:w="3827" w:type="dxa"/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электрик, электромонтер – 263</w:t>
            </w:r>
          </w:p>
        </w:tc>
        <w:tc>
          <w:tcPr>
            <w:tcW w:w="2835" w:type="dxa"/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стропальщик – 67</w:t>
            </w:r>
          </w:p>
        </w:tc>
      </w:tr>
      <w:tr w:rsidR="000C4B0E" w:rsidRPr="000C4B0E" w:rsidTr="007D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каменщик – 496</w:t>
            </w:r>
          </w:p>
        </w:tc>
        <w:tc>
          <w:tcPr>
            <w:tcW w:w="3827" w:type="dxa"/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продавец – 199</w:t>
            </w:r>
          </w:p>
        </w:tc>
        <w:tc>
          <w:tcPr>
            <w:tcW w:w="2835" w:type="dxa"/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станочник – 54</w:t>
            </w:r>
          </w:p>
        </w:tc>
      </w:tr>
      <w:tr w:rsidR="000C4B0E" w:rsidRPr="000C4B0E" w:rsidTr="007D1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0F331B" w:rsidRPr="00E74F0E" w:rsidRDefault="000F331B" w:rsidP="007D1D14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машинист – 451</w:t>
            </w:r>
          </w:p>
        </w:tc>
        <w:tc>
          <w:tcPr>
            <w:tcW w:w="3827" w:type="dxa"/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токарь – 128</w:t>
            </w:r>
          </w:p>
        </w:tc>
        <w:tc>
          <w:tcPr>
            <w:tcW w:w="2835" w:type="dxa"/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F331B" w:rsidRPr="000C4B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4572 вакансии (24,5% от текущего спроса на рабочую силу). Предложение рабочей силы по этой группе профессий в 5,6 раза меньше спроса</w:t>
      </w:r>
      <w:r w:rsidRPr="000C4B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0F331B" w:rsidRPr="00E74F0E" w:rsidRDefault="000F331B" w:rsidP="000F33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-1"/>
        <w:tblW w:w="10393" w:type="dxa"/>
        <w:tblInd w:w="108" w:type="dxa"/>
        <w:tblLook w:val="04A0" w:firstRow="1" w:lastRow="0" w:firstColumn="1" w:lastColumn="0" w:noHBand="0" w:noVBand="1"/>
      </w:tblPr>
      <w:tblGrid>
        <w:gridCol w:w="3686"/>
        <w:gridCol w:w="4394"/>
        <w:gridCol w:w="2313"/>
      </w:tblGrid>
      <w:tr w:rsidR="000C4B0E" w:rsidRPr="00E74F0E" w:rsidTr="007D1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il"/>
            </w:tcBorders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военнослужащий – 1067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фельдшер – 195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0F331B" w:rsidRPr="00E74F0E" w:rsidRDefault="000F331B" w:rsidP="007D1D14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инспектор – 87</w:t>
            </w:r>
          </w:p>
        </w:tc>
      </w:tr>
      <w:tr w:rsidR="000C4B0E" w:rsidRPr="00E74F0E" w:rsidTr="007D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врач – 619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(преподаватель, учитель) – 172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331B" w:rsidRPr="00E74F0E" w:rsidRDefault="000F331B" w:rsidP="007D1D1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бухгалтер – 51</w:t>
            </w:r>
          </w:p>
        </w:tc>
      </w:tr>
      <w:tr w:rsidR="000C4B0E" w:rsidRPr="00E74F0E" w:rsidTr="007D1D1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инженер – 534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мастер – 170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0F331B" w:rsidRPr="00E74F0E" w:rsidRDefault="000F331B" w:rsidP="007D1D14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администратор – 44</w:t>
            </w:r>
          </w:p>
        </w:tc>
      </w:tr>
      <w:tr w:rsidR="000C4B0E" w:rsidRPr="00E74F0E" w:rsidTr="007D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медицинская сестра – 394</w:t>
            </w:r>
          </w:p>
        </w:tc>
        <w:tc>
          <w:tcPr>
            <w:tcW w:w="4394" w:type="dxa"/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механик – 157</w:t>
            </w:r>
          </w:p>
        </w:tc>
        <w:tc>
          <w:tcPr>
            <w:tcW w:w="2313" w:type="dxa"/>
            <w:shd w:val="clear" w:color="auto" w:fill="FFFFFF" w:themeFill="background1"/>
          </w:tcPr>
          <w:p w:rsidR="000F331B" w:rsidRPr="00E74F0E" w:rsidRDefault="000F331B" w:rsidP="007D1D1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воспитатель – 38</w:t>
            </w:r>
          </w:p>
        </w:tc>
      </w:tr>
      <w:tr w:rsidR="000C4B0E" w:rsidRPr="00E74F0E" w:rsidTr="007D1D1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240</w:t>
            </w:r>
          </w:p>
        </w:tc>
        <w:tc>
          <w:tcPr>
            <w:tcW w:w="4394" w:type="dxa"/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охранник – 136</w:t>
            </w:r>
          </w:p>
        </w:tc>
        <w:tc>
          <w:tcPr>
            <w:tcW w:w="2313" w:type="dxa"/>
            <w:shd w:val="clear" w:color="auto" w:fill="F3F7FB"/>
          </w:tcPr>
          <w:p w:rsidR="000F331B" w:rsidRPr="00E74F0E" w:rsidRDefault="000F331B" w:rsidP="007D1D14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экономист – 21</w:t>
            </w:r>
          </w:p>
        </w:tc>
      </w:tr>
      <w:tr w:rsidR="000C4B0E" w:rsidRPr="00E74F0E" w:rsidTr="007D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техник – 210</w:t>
            </w:r>
          </w:p>
        </w:tc>
        <w:tc>
          <w:tcPr>
            <w:tcW w:w="4394" w:type="dxa"/>
            <w:shd w:val="clear" w:color="auto" w:fill="FFFFFF" w:themeFill="background1"/>
          </w:tcPr>
          <w:p w:rsidR="000F331B" w:rsidRPr="00E74F0E" w:rsidRDefault="000F331B" w:rsidP="007D1D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кассир – 131</w:t>
            </w:r>
          </w:p>
        </w:tc>
        <w:tc>
          <w:tcPr>
            <w:tcW w:w="2313" w:type="dxa"/>
            <w:shd w:val="clear" w:color="auto" w:fill="FFFFFF" w:themeFill="background1"/>
          </w:tcPr>
          <w:p w:rsidR="000F331B" w:rsidRPr="00E74F0E" w:rsidRDefault="000F331B" w:rsidP="007D1D1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 – 18</w:t>
            </w:r>
          </w:p>
        </w:tc>
      </w:tr>
      <w:tr w:rsidR="000C4B0E" w:rsidRPr="00E74F0E" w:rsidTr="007D1D1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агент – 198</w:t>
            </w:r>
          </w:p>
        </w:tc>
        <w:tc>
          <w:tcPr>
            <w:tcW w:w="4394" w:type="dxa"/>
            <w:shd w:val="clear" w:color="auto" w:fill="F3F7FB"/>
          </w:tcPr>
          <w:p w:rsidR="000F331B" w:rsidRPr="00E74F0E" w:rsidRDefault="000F331B" w:rsidP="007D1D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менеджер – 90</w:t>
            </w:r>
          </w:p>
        </w:tc>
        <w:tc>
          <w:tcPr>
            <w:tcW w:w="2313" w:type="dxa"/>
            <w:shd w:val="clear" w:color="auto" w:fill="F3F7FB"/>
          </w:tcPr>
          <w:p w:rsidR="000F331B" w:rsidRPr="00E74F0E" w:rsidRDefault="000F331B" w:rsidP="007D1D14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23476" w:rsidRPr="00E74F0E" w:rsidRDefault="00923476" w:rsidP="00923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1830 вакансий (9,8% от текущего спроса на рабочую силу). Предложение рабочей силы по этой группе профессий в 2,9 раза меньше спроса.</w:t>
      </w:r>
    </w:p>
    <w:p w:rsidR="00923476" w:rsidRPr="00E74F0E" w:rsidRDefault="00923476" w:rsidP="00923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23476" w:rsidRPr="00E74F0E" w:rsidRDefault="00923476" w:rsidP="00923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0C4B0E" w:rsidRPr="00E74F0E" w:rsidTr="007D1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923476" w:rsidRPr="00E74F0E" w:rsidRDefault="00923476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</w:t>
            </w: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Pr="00E74F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823</w:t>
            </w:r>
          </w:p>
        </w:tc>
      </w:tr>
      <w:tr w:rsidR="000C4B0E" w:rsidRPr="00E74F0E" w:rsidTr="007D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23476" w:rsidRPr="00E74F0E" w:rsidRDefault="00923476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уборщик – 287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23476" w:rsidRPr="00E74F0E" w:rsidRDefault="00923476" w:rsidP="007D1D14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дворник – 47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23476" w:rsidRPr="00E74F0E" w:rsidRDefault="00923476" w:rsidP="007D1D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животновод – 20</w:t>
            </w:r>
          </w:p>
        </w:tc>
      </w:tr>
      <w:tr w:rsidR="000C4B0E" w:rsidRPr="00E74F0E" w:rsidTr="007D1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923476" w:rsidRPr="00E74F0E" w:rsidRDefault="00923476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укладчик (упаковщик) – 162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923476" w:rsidRPr="00E74F0E" w:rsidRDefault="00923476" w:rsidP="007D1D14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сортировщик – 31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923476" w:rsidRPr="00E74F0E" w:rsidRDefault="00923476" w:rsidP="007D1D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овощевод – 20</w:t>
            </w:r>
          </w:p>
        </w:tc>
      </w:tr>
      <w:tr w:rsidR="000C4B0E" w:rsidRPr="00E74F0E" w:rsidTr="007D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923476" w:rsidRPr="00E74F0E" w:rsidRDefault="00923476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стрелок – 108</w:t>
            </w:r>
          </w:p>
        </w:tc>
        <w:tc>
          <w:tcPr>
            <w:tcW w:w="3402" w:type="dxa"/>
            <w:shd w:val="clear" w:color="auto" w:fill="FFFFFF" w:themeFill="background1"/>
          </w:tcPr>
          <w:p w:rsidR="00923476" w:rsidRPr="00E74F0E" w:rsidRDefault="00923476" w:rsidP="007D1D14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горничная – 29</w:t>
            </w:r>
          </w:p>
        </w:tc>
        <w:tc>
          <w:tcPr>
            <w:tcW w:w="3118" w:type="dxa"/>
            <w:shd w:val="clear" w:color="auto" w:fill="FFFFFF" w:themeFill="background1"/>
          </w:tcPr>
          <w:p w:rsidR="00923476" w:rsidRPr="00E74F0E" w:rsidRDefault="00923476" w:rsidP="007D1D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 – 11</w:t>
            </w:r>
          </w:p>
        </w:tc>
      </w:tr>
      <w:tr w:rsidR="000C4B0E" w:rsidRPr="00E74F0E" w:rsidTr="007D1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923476" w:rsidRPr="00E74F0E" w:rsidRDefault="00923476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(пути) – 90</w:t>
            </w:r>
          </w:p>
        </w:tc>
        <w:tc>
          <w:tcPr>
            <w:tcW w:w="3402" w:type="dxa"/>
            <w:shd w:val="clear" w:color="auto" w:fill="F3F7FB"/>
          </w:tcPr>
          <w:p w:rsidR="00923476" w:rsidRPr="00E74F0E" w:rsidRDefault="00923476" w:rsidP="007D1D14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сторож (вахтер) – 25</w:t>
            </w:r>
          </w:p>
        </w:tc>
        <w:tc>
          <w:tcPr>
            <w:tcW w:w="3118" w:type="dxa"/>
            <w:shd w:val="clear" w:color="auto" w:fill="F3F7FB"/>
          </w:tcPr>
          <w:p w:rsidR="00923476" w:rsidRPr="00E74F0E" w:rsidRDefault="00923476" w:rsidP="007D1D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почтальон – 11</w:t>
            </w:r>
          </w:p>
        </w:tc>
      </w:tr>
      <w:tr w:rsidR="000C4B0E" w:rsidRPr="00E74F0E" w:rsidTr="007D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923476" w:rsidRPr="00E74F0E" w:rsidRDefault="00923476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грузчик – 64</w:t>
            </w:r>
          </w:p>
        </w:tc>
        <w:tc>
          <w:tcPr>
            <w:tcW w:w="3402" w:type="dxa"/>
            <w:shd w:val="clear" w:color="auto" w:fill="FFFFFF" w:themeFill="background1"/>
          </w:tcPr>
          <w:p w:rsidR="00923476" w:rsidRPr="00E74F0E" w:rsidRDefault="00923476" w:rsidP="007D1D14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обработчик – 25</w:t>
            </w:r>
          </w:p>
        </w:tc>
        <w:tc>
          <w:tcPr>
            <w:tcW w:w="3118" w:type="dxa"/>
            <w:shd w:val="clear" w:color="auto" w:fill="FFFFFF" w:themeFill="background1"/>
          </w:tcPr>
          <w:p w:rsidR="00923476" w:rsidRPr="00E74F0E" w:rsidRDefault="00923476" w:rsidP="007D1D1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0C4B0E" w:rsidRPr="00E74F0E" w:rsidTr="007D1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923476" w:rsidRPr="00E74F0E" w:rsidRDefault="00923476" w:rsidP="007D1D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кладовщик – 56</w:t>
            </w:r>
          </w:p>
        </w:tc>
        <w:tc>
          <w:tcPr>
            <w:tcW w:w="3402" w:type="dxa"/>
            <w:shd w:val="clear" w:color="auto" w:fill="F3F7FB"/>
          </w:tcPr>
          <w:p w:rsidR="00923476" w:rsidRPr="00E74F0E" w:rsidRDefault="00923476" w:rsidP="007D1D14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4F0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мойщик – 21</w:t>
            </w:r>
          </w:p>
        </w:tc>
        <w:tc>
          <w:tcPr>
            <w:tcW w:w="3118" w:type="dxa"/>
            <w:shd w:val="clear" w:color="auto" w:fill="F3F7FB"/>
          </w:tcPr>
          <w:p w:rsidR="00923476" w:rsidRPr="00E74F0E" w:rsidRDefault="00923476" w:rsidP="007D1D1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B4A3D" w:rsidRPr="00E74F0E" w:rsidRDefault="00AB4A3D" w:rsidP="00AB4A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923476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18683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923476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E74F0E" w:rsidRDefault="00923476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798</w:t>
      </w:r>
      <w:r w:rsidR="00AB4A3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="00AB4A3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</w:t>
      </w:r>
      <w:r w:rsidR="00485E02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</w:t>
      </w:r>
      <w:r w:rsidR="008B3711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AB4A3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EF634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711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="00AB4A3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государственные формы собственности </w:t>
      </w:r>
      <w:r w:rsidR="00FD10EE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B4A3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B3711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3640</w:t>
      </w:r>
      <w:r w:rsidR="00AB4A3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8B3711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AB4A3D" w:rsidRPr="00E74F0E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:rsidR="00AB4A3D" w:rsidRPr="006818A5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:rsidR="00AB4A3D" w:rsidRPr="003575E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E1729B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содействии службы занятости в 201</w:t>
      </w:r>
      <w:r w:rsidR="008A2786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575E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виды работ трудоустроено </w:t>
      </w:r>
      <w:r w:rsidR="003575E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20652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575E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</w:t>
      </w:r>
      <w:r w:rsidR="003723A4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E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1607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F421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</w:t>
      </w:r>
      <w:r w:rsidR="001A1A87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2786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1A87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575E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D47" w:rsidRPr="00E1729B" w:rsidRDefault="00CA3069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трудоустройства граждан является одним из основных показателей оценки работы службы занятости. В 201</w:t>
      </w:r>
      <w:r w:rsidR="00AD4AD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4AD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 увеличился</w:t>
      </w:r>
      <w:r w:rsidR="00521F21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414D0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71,</w:t>
      </w:r>
      <w:r w:rsidR="003575E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61358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AD4AD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575E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414D0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75E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75EB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81717" w:rsidRPr="00E1729B" w:rsidRDefault="00CA3069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7BE5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11филиалах</w:t>
      </w:r>
      <w:r w:rsidRPr="00E1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A87" w:rsidRPr="00E1729B">
        <w:rPr>
          <w:rFonts w:ascii="Times New Roman" w:eastAsia="Calibri" w:hAnsi="Times New Roman" w:cs="Times New Roman"/>
          <w:sz w:val="24"/>
          <w:szCs w:val="24"/>
        </w:rPr>
        <w:t>ГКУ ЦЗН ЛО</w:t>
      </w:r>
      <w:r w:rsidRPr="00E1729B">
        <w:rPr>
          <w:rFonts w:ascii="Times New Roman" w:eastAsia="Calibri" w:hAnsi="Times New Roman" w:cs="Times New Roman"/>
          <w:sz w:val="24"/>
          <w:szCs w:val="24"/>
        </w:rPr>
        <w:t xml:space="preserve"> этот показатель выше среднеобластного значения</w:t>
      </w:r>
      <w:r w:rsidR="00477BE5" w:rsidRPr="00E172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81717" w:rsidRPr="00E1729B">
        <w:rPr>
          <w:rFonts w:ascii="Times New Roman" w:eastAsia="Calibri" w:hAnsi="Times New Roman" w:cs="Times New Roman"/>
          <w:sz w:val="24"/>
          <w:szCs w:val="24"/>
        </w:rPr>
        <w:t>Тихвинском (72,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1</w:t>
      </w:r>
      <w:r w:rsidR="00981717" w:rsidRPr="00E1729B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proofErr w:type="spellStart"/>
      <w:r w:rsidR="00FE452F" w:rsidRPr="00E1729B">
        <w:rPr>
          <w:rFonts w:ascii="Times New Roman" w:eastAsia="Calibri" w:hAnsi="Times New Roman" w:cs="Times New Roman"/>
          <w:sz w:val="24"/>
          <w:szCs w:val="24"/>
        </w:rPr>
        <w:t>Сосновоборгском</w:t>
      </w:r>
      <w:proofErr w:type="spellEnd"/>
      <w:r w:rsidR="00981717" w:rsidRPr="00E1729B">
        <w:rPr>
          <w:rFonts w:ascii="Times New Roman" w:eastAsia="Calibri" w:hAnsi="Times New Roman" w:cs="Times New Roman"/>
          <w:sz w:val="24"/>
          <w:szCs w:val="24"/>
        </w:rPr>
        <w:t xml:space="preserve"> (7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3</w:t>
      </w:r>
      <w:r w:rsidR="00981717" w:rsidRPr="00E1729B">
        <w:rPr>
          <w:rFonts w:ascii="Times New Roman" w:eastAsia="Calibri" w:hAnsi="Times New Roman" w:cs="Times New Roman"/>
          <w:sz w:val="24"/>
          <w:szCs w:val="24"/>
        </w:rPr>
        <w:t>,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3</w:t>
      </w:r>
      <w:r w:rsidR="00981717" w:rsidRPr="00E1729B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proofErr w:type="spellStart"/>
      <w:r w:rsidR="00981717" w:rsidRPr="00E1729B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="00981717" w:rsidRPr="00E1729B">
        <w:rPr>
          <w:rFonts w:ascii="Times New Roman" w:eastAsia="Calibri" w:hAnsi="Times New Roman" w:cs="Times New Roman"/>
          <w:sz w:val="24"/>
          <w:szCs w:val="24"/>
        </w:rPr>
        <w:t xml:space="preserve"> (7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4</w:t>
      </w:r>
      <w:r w:rsidR="00981717" w:rsidRPr="00E1729B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Гатчинском</w:t>
      </w:r>
      <w:r w:rsidR="00981717" w:rsidRPr="00E1729B">
        <w:rPr>
          <w:rFonts w:ascii="Times New Roman" w:eastAsia="Calibri" w:hAnsi="Times New Roman" w:cs="Times New Roman"/>
          <w:sz w:val="24"/>
          <w:szCs w:val="24"/>
        </w:rPr>
        <w:t xml:space="preserve"> (7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5</w:t>
      </w:r>
      <w:r w:rsidR="00981717" w:rsidRPr="00E1729B">
        <w:rPr>
          <w:rFonts w:ascii="Times New Roman" w:eastAsia="Calibri" w:hAnsi="Times New Roman" w:cs="Times New Roman"/>
          <w:sz w:val="24"/>
          <w:szCs w:val="24"/>
        </w:rPr>
        <w:t>,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6</w:t>
      </w:r>
      <w:r w:rsidR="00981717" w:rsidRPr="00E1729B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Выборгском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 xml:space="preserve"> (75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,7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Приозерском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 xml:space="preserve"> (7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6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>,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4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>%), В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севоложском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 xml:space="preserve"> (7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6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>,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4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Кировском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 xml:space="preserve"> (76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,4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Тосненском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 xml:space="preserve"> (7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8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>,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9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>%), Ломоносовском (80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,4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>%), Волховском (8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5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>,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3</w:t>
      </w:r>
      <w:r w:rsidR="003459C1" w:rsidRPr="00E1729B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DA2EEA" w:rsidRPr="00E1729B" w:rsidRDefault="00AF3075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Calibri" w:hAnsi="Times New Roman" w:cs="Times New Roman"/>
          <w:sz w:val="24"/>
          <w:szCs w:val="24"/>
        </w:rPr>
        <w:t>В</w:t>
      </w:r>
      <w:r w:rsidR="00DA2EEA" w:rsidRPr="00E1729B">
        <w:rPr>
          <w:rFonts w:ascii="Times New Roman" w:eastAsia="Calibri" w:hAnsi="Times New Roman" w:cs="Times New Roman"/>
          <w:sz w:val="24"/>
          <w:szCs w:val="24"/>
        </w:rPr>
        <w:t xml:space="preserve">ажно, что </w:t>
      </w:r>
      <w:r w:rsidR="00F74D39" w:rsidRPr="00E1729B">
        <w:rPr>
          <w:rFonts w:ascii="Times New Roman" w:eastAsia="Calibri" w:hAnsi="Times New Roman" w:cs="Times New Roman"/>
          <w:sz w:val="24"/>
          <w:szCs w:val="24"/>
        </w:rPr>
        <w:t>7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4</w:t>
      </w:r>
      <w:r w:rsidR="00F74D39" w:rsidRPr="00E1729B">
        <w:rPr>
          <w:rFonts w:ascii="Times New Roman" w:eastAsia="Calibri" w:hAnsi="Times New Roman" w:cs="Times New Roman"/>
          <w:sz w:val="24"/>
          <w:szCs w:val="24"/>
        </w:rPr>
        <w:t>,</w:t>
      </w:r>
      <w:r w:rsidR="00FE452F" w:rsidRPr="00E1729B">
        <w:rPr>
          <w:rFonts w:ascii="Times New Roman" w:eastAsia="Calibri" w:hAnsi="Times New Roman" w:cs="Times New Roman"/>
          <w:sz w:val="24"/>
          <w:szCs w:val="24"/>
        </w:rPr>
        <w:t>8</w:t>
      </w:r>
      <w:r w:rsidR="00DA2EEA" w:rsidRPr="00E1729B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</w:t>
      </w:r>
      <w:r w:rsidR="00FD10EE" w:rsidRPr="00E1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EEA" w:rsidRPr="00E1729B"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r w:rsidR="00FD10EE" w:rsidRPr="00E1729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A2EEA" w:rsidRPr="00E1729B">
        <w:rPr>
          <w:rFonts w:ascii="Times New Roman" w:eastAsia="Calibri" w:hAnsi="Times New Roman" w:cs="Times New Roman"/>
          <w:sz w:val="24"/>
          <w:szCs w:val="24"/>
        </w:rPr>
        <w:t>до признания их безработными.</w:t>
      </w:r>
    </w:p>
    <w:p w:rsidR="00AB4A3D" w:rsidRPr="00E1729B" w:rsidRDefault="00DA2EE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:rsidR="00DA2EEA" w:rsidRPr="00E1729B" w:rsidRDefault="00FE452F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10457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(5</w:t>
      </w:r>
      <w:r w:rsidR="00F74D39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E1729B" w:rsidRDefault="00FE452F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12001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14-29 лет (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E1729B" w:rsidRDefault="00FE452F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807</w:t>
      </w:r>
      <w:r w:rsidR="00F74D39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3AF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(3,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333C3" w:rsidRPr="00E1729B" w:rsidRDefault="00A26E73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630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предпенсионного возраста (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333C3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EEA" w:rsidRPr="00E1729B" w:rsidRDefault="00F74D39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7D90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962</w:t>
      </w:r>
      <w:r w:rsidR="00B333C3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C7D90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33C3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числа родителей имеющих</w:t>
      </w:r>
      <w:r w:rsidR="006818A5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(</w:t>
      </w:r>
      <w:r w:rsidR="00EC7D90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33C3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33C3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DA2EEA" w:rsidRPr="00E17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EEA" w:rsidRPr="007E32C4" w:rsidRDefault="008756CC" w:rsidP="008756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54B110" wp14:editId="4DBE2C5C">
            <wp:extent cx="6663193" cy="2639833"/>
            <wp:effectExtent l="0" t="0" r="23495" b="2730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01DF" w:rsidRDefault="004001DF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E15DC4" w:rsidRPr="00AB4A3D" w:rsidRDefault="00E15DC4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33A5A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Временное трудоустройство</w:t>
      </w:r>
      <w:r w:rsidR="00245DE5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различных категорий населения</w:t>
      </w:r>
    </w:p>
    <w:p w:rsidR="00245DE5" w:rsidRPr="00245DE5" w:rsidRDefault="00245DE5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B4A3D" w:rsidRPr="00184AE2" w:rsidRDefault="00AB4A3D" w:rsidP="009A32F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184AE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245DE5" w:rsidRPr="00184AE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Безработные</w:t>
      </w:r>
      <w:r w:rsidRPr="00184AE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граждан</w:t>
      </w:r>
      <w:r w:rsidR="00245DE5" w:rsidRPr="00184AE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е, испытывающие</w:t>
      </w:r>
      <w:r w:rsidRPr="00184AE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трудности в поиске работы</w:t>
      </w:r>
    </w:p>
    <w:p w:rsidR="00A33A5A" w:rsidRPr="004B7C35" w:rsidRDefault="00A33A5A" w:rsidP="009A32F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AB4A3D" w:rsidRPr="004B7C35" w:rsidRDefault="00245DE5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4A3D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временные работы трудоустроен</w:t>
      </w:r>
      <w:r w:rsidR="00556920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4A3D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20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F26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946F3D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безработных граждан, испытывающих трудности в поиске работы, из них: </w:t>
      </w:r>
      <w:r w:rsidR="00556920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0F26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A5A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инвалид</w:t>
      </w:r>
      <w:r w:rsidR="00AB4A3D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50F26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A33A5A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женщин; </w:t>
      </w:r>
      <w:r w:rsidR="00D50F26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A33A5A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</w:t>
      </w:r>
      <w:r w:rsidR="003723A4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AB4A3D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предпенсионного возраста; </w:t>
      </w:r>
      <w:r w:rsidR="00D50F26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C72C6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родителей, имеющих</w:t>
      </w:r>
      <w:r w:rsidR="00AB4A3D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детей. </w:t>
      </w:r>
    </w:p>
    <w:p w:rsidR="00396494" w:rsidRPr="004B7C35" w:rsidRDefault="00396494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трудоустроенн</w:t>
      </w:r>
      <w:r w:rsidR="000E6F2D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городских жителей – </w:t>
      </w:r>
      <w:r w:rsidR="00031B68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0F26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сельских жителей                            – </w:t>
      </w:r>
      <w:r w:rsidR="00D50F26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50F26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жителей моногородов – </w:t>
      </w:r>
      <w:r w:rsidR="00031B68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920"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B4A3D" w:rsidRPr="00C104D0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184AE2" w:rsidRDefault="00245DE5" w:rsidP="009A32F4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184AE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Несовершеннолетние</w:t>
      </w:r>
      <w:r w:rsidR="00AB4A3D" w:rsidRPr="00184AE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граждан</w:t>
      </w:r>
      <w:r w:rsidRPr="00184AE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е</w:t>
      </w:r>
      <w:r w:rsidR="00AB4A3D" w:rsidRPr="00184AE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в возрасте от 14 до 18 лет </w:t>
      </w:r>
    </w:p>
    <w:p w:rsidR="00A33A5A" w:rsidRPr="00CA7DA0" w:rsidRDefault="00A33A5A" w:rsidP="009A32F4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4A3D" w:rsidRPr="00CA7DA0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031B68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0F26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989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</w:t>
      </w:r>
      <w:r w:rsidR="0089400E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FD10EE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до 18 лет в свободное от учебы время, </w:t>
      </w:r>
      <w:r w:rsidR="00245DE5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CA7DA0" w:rsidRDefault="00D50F2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6161</w:t>
      </w:r>
      <w:r w:rsidR="00AB4A3D" w:rsidRPr="00CA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</w:t>
      </w:r>
      <w:r w:rsidR="003723A4" w:rsidRPr="00CA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CA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– городские жители;</w:t>
      </w:r>
    </w:p>
    <w:p w:rsidR="00653B91" w:rsidRPr="00CA7DA0" w:rsidRDefault="00556920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50F26" w:rsidRPr="00CA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828</w:t>
      </w:r>
      <w:r w:rsidR="00AB4A3D" w:rsidRPr="00CA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D50F26" w:rsidRPr="00CA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AB4A3D" w:rsidRPr="00CA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</w:t>
      </w:r>
      <w:r w:rsidR="004C51A2" w:rsidRPr="00CA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CA7DA0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занимались благоустройством</w:t>
      </w:r>
      <w:r w:rsidR="00A650B0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озеленением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предприятий (организаций)</w:t>
      </w:r>
      <w:r w:rsidR="00A650B0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 пунктов</w:t>
      </w:r>
      <w:r w:rsidR="00195BE4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оказывали социальную помощь на дому (патронажная служба) гражданам пожилого возраста, ветеранам и участникам Великой Отечественной войны.</w:t>
      </w:r>
    </w:p>
    <w:p w:rsidR="00DD7C71" w:rsidRPr="00CA7DA0" w:rsidRDefault="00DD7C71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184AE2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184AE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Общественные работы</w:t>
      </w:r>
    </w:p>
    <w:p w:rsidR="00A33A5A" w:rsidRPr="00CA7DA0" w:rsidRDefault="00A33A5A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70C5" w:rsidRPr="00CA7DA0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556920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F26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1109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DD7C71" w:rsidRPr="00CA7DA0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="00E870C5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оплачиваемым общественным работам: </w:t>
      </w:r>
    </w:p>
    <w:p w:rsidR="007E32C4" w:rsidRPr="00CA7DA0" w:rsidRDefault="00D50F26" w:rsidP="00A3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759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89400E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безработные граждане; </w:t>
      </w:r>
      <w:r w:rsidR="00556920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870C5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723A4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70C5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A3069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="00E870C5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длительного (более года) перерыва; </w:t>
      </w:r>
      <w:r w:rsidR="00DD7C71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56920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граждане, в</w:t>
      </w:r>
      <w:r w:rsidR="00A75BC6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ищущие работу, из них: </w:t>
      </w:r>
      <w:r w:rsidR="00556920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0B0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имеющие квалификации.</w:t>
      </w:r>
      <w:proofErr w:type="gramEnd"/>
    </w:p>
    <w:p w:rsidR="00723194" w:rsidRDefault="00723194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 безработных граждан</w:t>
      </w:r>
    </w:p>
    <w:p w:rsidR="00AB4A3D" w:rsidRPr="009B488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CA7DA0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:rsidR="00AB4A3D" w:rsidRPr="00CA7DA0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473C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</w:t>
      </w:r>
      <w:r w:rsidR="009B488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CA7DA0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</w:t>
      </w:r>
      <w:r w:rsidR="009F473C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 по содействию самозанятости </w:t>
      </w:r>
      <w:r w:rsidR="009B488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542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 </w:t>
      </w:r>
    </w:p>
    <w:p w:rsidR="00AB4A3D" w:rsidRPr="00CA7DA0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собственное дело после получения госуслуги по содействию самозанятости</w:t>
      </w:r>
      <w:r w:rsidR="000E6F2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88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AB4A3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</w:p>
    <w:p w:rsidR="00AB4A3D" w:rsidRPr="00CA7DA0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9B488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</w:t>
      </w:r>
    </w:p>
    <w:p w:rsidR="009B488D" w:rsidRPr="00CA7DA0" w:rsidRDefault="009B488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34 дополнительных рабочих места для трудоустройства безработных граждан; </w:t>
      </w:r>
    </w:p>
    <w:p w:rsidR="00AB4A3D" w:rsidRPr="00CA7DA0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9B488D"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C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AB4A3D" w:rsidRPr="009B488D" w:rsidRDefault="00AB4A3D" w:rsidP="009F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:rsidR="00AB4A3D" w:rsidRPr="00CF64F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:rsidR="00AB4A3D" w:rsidRPr="00AE3D04" w:rsidRDefault="00D50F2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6AB8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A623B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4A3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 обратил</w:t>
      </w:r>
      <w:r w:rsidR="00B16BB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44A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4158</w:t>
      </w:r>
      <w:r w:rsidR="00AB4A3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F64FA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 из них: трудоустроен</w:t>
      </w:r>
      <w:r w:rsidR="00B16BB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44A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AB4A3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B16BB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44A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64FA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44A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B4A3D" w:rsidRPr="00AE3D0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граждане получили комплекс госуслуг:</w:t>
      </w:r>
    </w:p>
    <w:p w:rsidR="00AB4A3D" w:rsidRPr="00AE3D04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0D44A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23645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DC1AE5" w:rsidRPr="00AE3D04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FE7C30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44A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16-29 лет; </w:t>
      </w:r>
    </w:p>
    <w:p w:rsidR="00AB4A3D" w:rsidRPr="00AE3D04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0D44A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="008C6C36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D44A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</w:t>
      </w:r>
    </w:p>
    <w:p w:rsidR="00AB4A3D" w:rsidRPr="00AE3D0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583394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44A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D44A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5A6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AE3D0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9B488D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1B4AEE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лет;</w:t>
      </w:r>
    </w:p>
    <w:p w:rsidR="00AB4A3D" w:rsidRPr="00AE3D0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временному трудоустройству безработных граждан в возрасте от 18 до 20 лет, имеющих среднее профессиональное образование и ищущих работу впервые, – </w:t>
      </w:r>
      <w:r w:rsidR="00583394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44A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878D2" w:rsidRPr="00AE3D0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выпускных классов общеобразовательных организаций проведены </w:t>
      </w:r>
      <w:r w:rsidR="0089400E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7560F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7E1D70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 </w:t>
      </w:r>
      <w:r w:rsidR="0017560F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сферы деятельности, п</w:t>
      </w:r>
      <w:r w:rsidR="00B878D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рофессии, учебного заведения.</w:t>
      </w:r>
    </w:p>
    <w:p w:rsidR="00AB4A3D" w:rsidRPr="00AE3D0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ярмарках </w:t>
      </w:r>
      <w:r w:rsidR="002A7392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0F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3603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17560F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7560F"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</w:t>
      </w:r>
      <w:r w:rsidRPr="00AE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организаций Ленинградской области и Санкт-Петербурга.</w:t>
      </w:r>
    </w:p>
    <w:p w:rsidR="000742F4" w:rsidRPr="00F26603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</w:t>
      </w:r>
      <w:proofErr w:type="spellStart"/>
      <w:r w:rsidR="001C586D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оласти</w:t>
      </w:r>
      <w:proofErr w:type="spellEnd"/>
      <w:r w:rsidR="001C586D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затрат </w:t>
      </w:r>
      <w:r w:rsidR="00583394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5C352F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0742F4" w:rsidRPr="00F26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2C4" w:rsidRPr="007E32C4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:rsidR="00AB4A3D" w:rsidRPr="000F4525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7A77F8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D44A2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3700</w:t>
      </w:r>
      <w:r w:rsidR="00152B4B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0D44A2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52B4B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0D44A2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52B4B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0D44A2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233</w:t>
      </w:r>
      <w:r w:rsidR="00AB4A3D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D44A2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8E4B7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одинокие родители – 1</w:t>
      </w:r>
      <w:r w:rsidR="000D44A2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8E4B7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D44A2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4B7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AB4A3D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246673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4A2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AB4A3D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AB4A3D" w:rsidRPr="007A77F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246673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30BD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962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E30BD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относящихся к указанным категориям, </w:t>
      </w:r>
      <w:r w:rsidR="004A470C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E30BD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8E4B7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E30BD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родители, имеющие</w:t>
      </w:r>
      <w:r w:rsidR="00DD7C71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детей-инвалидов – </w:t>
      </w:r>
      <w:r w:rsidR="00E30BD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  <w:proofErr w:type="gramEnd"/>
    </w:p>
    <w:p w:rsidR="006E3551" w:rsidRPr="007A77F8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многодетные родители – 2</w:t>
      </w:r>
      <w:r w:rsidR="00E30BD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E4B7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FE7C30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30BD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30BD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30BDE" w:rsidRPr="007A77F8">
        <w:t xml:space="preserve"> </w:t>
      </w:r>
      <w:r w:rsidR="00E30BDE"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родители, имеющие детей-инвалидов – 1 человек</w:t>
      </w:r>
      <w:r w:rsidRPr="007A7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содействием в поиске подходящей работы обратились </w:t>
      </w:r>
      <w:r w:rsidR="003C248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2544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24667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24667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DD27D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C248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8,8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:rsidR="00AB4A3D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248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1315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4667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3C248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C51107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C248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:rsidR="00AB4A3D" w:rsidRPr="000F4525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:rsidR="00AB4A3D" w:rsidRPr="000F4525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E02A68" w:rsidRDefault="005654B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7E6E9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3C248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CD658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873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E30D7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относящихся к категории инвалидов (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:rsidR="00AB4A3D" w:rsidRPr="00E02A68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807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имеющих инвалидность (</w:t>
      </w:r>
      <w:r w:rsidR="003100D1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B4A3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:rsidR="00AB4A3D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619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относящихся к категории инвалидов. </w:t>
      </w:r>
    </w:p>
    <w:p w:rsidR="00AB4A3D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относящиеся к категории инвалидов, получили следующие госуслуги:</w:t>
      </w:r>
    </w:p>
    <w:p w:rsidR="00DD7C71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06349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349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или </w:t>
      </w:r>
      <w:r w:rsidR="0006349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F01B7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A3D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безработных граждан – 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546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572EB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9044E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8,1%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общей численности безработных граждан, получивших </w:t>
      </w:r>
      <w:proofErr w:type="gramStart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госуслугу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77446F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A44A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DA44A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или </w:t>
      </w:r>
      <w:r w:rsidR="008041E7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28,</w:t>
      </w:r>
      <w:r w:rsidR="00DA44A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7446F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A44A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DA44A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1</w:t>
      </w:r>
      <w:r w:rsidR="00DA44A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9B488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9B488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8041E7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E4D8F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1,2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E02A68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профессиональному обучению и дополнительному профессиональному образованию приступили </w:t>
      </w:r>
      <w:r w:rsidR="00DA44A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349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инвалида из числа безработных граждан, что составило </w:t>
      </w:r>
      <w:r w:rsidR="00FE7C30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5,3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госуслугу, и </w:t>
      </w:r>
      <w:r w:rsidR="00DA44A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06349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незанятых инвалидов.</w:t>
      </w:r>
    </w:p>
    <w:p w:rsidR="00063496" w:rsidRPr="00E02A68" w:rsidRDefault="0089233B" w:rsidP="0006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B77F7B"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C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B77F7B"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B77F7B"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бухгалтер, водитель погрузчика, </w:t>
      </w:r>
      <w:r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кладовщик, </w:t>
      </w:r>
      <w:r w:rsidR="00B77F7B"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лифтер, оператор котельной, охранник, повар</w:t>
      </w:r>
      <w:r w:rsidR="00063496"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маникюрша</w:t>
      </w:r>
      <w:r w:rsidR="00582E0C"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:rsidR="00AB4A3D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на временные работы безработных граждан, испытывающих трудности</w:t>
      </w:r>
      <w:r w:rsidR="00194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7E32C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05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иске работы, – </w:t>
      </w:r>
      <w:r w:rsidR="004E4CB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A44A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 или </w:t>
      </w:r>
      <w:r w:rsidR="00DA44A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="004E4CB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,6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7E4F55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3401</w:t>
      </w:r>
      <w:r w:rsidR="00B94A78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B4A3D" w:rsidRPr="00E02A6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AB4A3D" w:rsidRPr="00E02A68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331E39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D658D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86FF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331E39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1E39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DE2AF5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:rsidR="000742F4" w:rsidRPr="00E02A68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мероприятия «Содействие трудоустройству граждан, нуждающихся в дополнительной поддержке», в части содействия занятости инвалидов, понимается компенсация расходов работодателей на выплату заработной платы трудоустроенного инвалида и доплату </w:t>
      </w:r>
      <w:r w:rsidR="001F48F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0742F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1F48F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="000742F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осуществлению контроля за осуществлением трудоустроенным инвалидом трудовой деятельности, по оказанию помощи в исполнении инвалидом его функциональных обязанностей, </w:t>
      </w:r>
      <w:r w:rsidR="001F48F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742F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:rsidR="000742F4" w:rsidRPr="00E02A68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:rsidR="000742F4" w:rsidRPr="00E02A68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:rsidR="00AB4A3D" w:rsidRPr="00B0701A" w:rsidRDefault="00331E39" w:rsidP="00B07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742F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742F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мероприятия, приняли участие </w:t>
      </w:r>
      <w:r w:rsidR="00B0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160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77446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77446F" w:rsidRPr="00E02A68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DA44A3"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>8090</w:t>
      </w:r>
      <w:r w:rsidRP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жителя,  из них: 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DA44A3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5909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(7</w:t>
      </w:r>
      <w:r w:rsidR="002662A6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:rsidR="0077446F" w:rsidRPr="00E02A68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77446F" w:rsidRPr="00E02A68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числа безработных граждан – жителей сельской местности:</w:t>
      </w:r>
    </w:p>
    <w:p w:rsidR="0077446F" w:rsidRPr="00E02A68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получили госуслугу по профессиональной ориентации – 1</w:t>
      </w:r>
      <w:r w:rsidR="00BD3832"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6172</w:t>
      </w: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BD3832"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77446F" w:rsidRPr="00E02A68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получили госуслугу по психологической поддержке – 3</w:t>
      </w:r>
      <w:r w:rsidR="00BD3832"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91</w:t>
      </w: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</w:p>
    <w:p w:rsidR="0077446F" w:rsidRPr="00E02A68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приступили к профессиональному обучению – </w:t>
      </w:r>
      <w:r w:rsidR="004F585A"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332</w:t>
      </w: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человека;</w:t>
      </w:r>
    </w:p>
    <w:p w:rsidR="0077446F" w:rsidRPr="00E02A68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социальной адаптации – </w:t>
      </w:r>
      <w:r w:rsidR="004F585A"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337</w:t>
      </w: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 </w:t>
      </w:r>
    </w:p>
    <w:p w:rsidR="0077446F" w:rsidRPr="00E02A68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приняли участие в общественных работах – </w:t>
      </w:r>
      <w:r w:rsidR="004F585A"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290</w:t>
      </w: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</w:p>
    <w:p w:rsidR="0077446F" w:rsidRPr="00E02A68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содействию самозанятости – </w:t>
      </w:r>
      <w:r w:rsidR="009B488D"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151</w:t>
      </w: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человек. </w:t>
      </w:r>
    </w:p>
    <w:p w:rsidR="0077446F" w:rsidRPr="00E02A68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:rsidR="0077446F" w:rsidRPr="00E02A68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77446F" w:rsidRPr="00E02A68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77446F" w:rsidRPr="00E02A68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07451C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7451C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46F" w:rsidRPr="00E02A68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07451C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788</w:t>
      </w:r>
      <w:r w:rsidRPr="00E02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вакансий, предоставленных предприятиями агропромышленного комплекса (4,</w:t>
      </w:r>
      <w:r w:rsidR="0007451C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:rsidR="0077446F" w:rsidRPr="00E02A68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4F585A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949</w:t>
      </w:r>
      <w:r w:rsidR="0078327A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4F585A"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157 </w:t>
      </w:r>
      <w:r w:rsidRPr="00E0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меньше, чем в начале 2017 года). </w:t>
      </w:r>
    </w:p>
    <w:p w:rsidR="0077446F" w:rsidRPr="00BA1B11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C461B5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:rsidR="00AB4A3D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 наказание</w:t>
      </w:r>
      <w:r w:rsidR="00C461B5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:rsidR="005B4C0B" w:rsidRPr="000F4525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5B4C0B" w:rsidRPr="00025178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обратилось </w:t>
      </w:r>
      <w:r w:rsidR="0007451C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236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освобожденных из учреждений, исполняющих наказание в виде лишения свободы,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третий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025178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5B4C0B" w:rsidRPr="00025178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</w:t>
      </w:r>
      <w:r w:rsidR="004736E8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</w:t>
      </w:r>
      <w:r w:rsidR="0011494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4736E8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025178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DD7C71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8DD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лишения свободы, получили госу</w:t>
      </w:r>
      <w:r w:rsidR="00536B3F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B4C0B" w:rsidRPr="00025178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07451C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</w:t>
      </w:r>
      <w:r w:rsidR="008C6C36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C0F7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4C0B" w:rsidRPr="00025178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– </w:t>
      </w:r>
      <w:r w:rsidR="00EC0F7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7451C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025178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циальной адаптации – </w:t>
      </w:r>
      <w:r w:rsidR="0007451C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A507E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025178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B72DA1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2BE1" w:rsidRPr="00025178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</w:t>
      </w:r>
      <w:r w:rsidR="009E5D2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9E5D2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Управления Федеральной службы исполнения наказания по Санкт-Петербургу </w:t>
      </w:r>
      <w:r w:rsidR="009E5D2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 содействию занятости лиц, подлежащих освобождению </w:t>
      </w:r>
      <w:r w:rsidR="009E5D2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учреждений, исполняющих наказание в виде лишения свободы, </w:t>
      </w:r>
      <w:r w:rsidR="009E5D2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6D4318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специалисты</w:t>
      </w:r>
      <w:r w:rsidR="009E5D2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4736E8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 посетили исправительные учреждения</w:t>
      </w:r>
      <w:r w:rsidR="009E5D2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ГУФСИН</w:t>
      </w:r>
      <w:r w:rsidR="009E5D2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5B4C0B" w:rsidRPr="00025178" w:rsidRDefault="004736E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331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нину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подлежащим освобождению,</w:t>
      </w:r>
      <w:r w:rsidR="00DD7C71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о предоставляемых службой занятости госуслугах.</w:t>
      </w:r>
      <w:proofErr w:type="gramEnd"/>
    </w:p>
    <w:p w:rsidR="0066151F" w:rsidRPr="00025178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г.</w:t>
      </w:r>
      <w:r w:rsidR="0094359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Петербургу и Ленинградской области, расположенных на территории Ленинградской области (далее – УИИ) приём </w:t>
      </w:r>
      <w:r w:rsidR="004736E8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338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 </w:t>
      </w:r>
      <w:r w:rsidR="00113612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:rsidR="00642BE1" w:rsidRPr="00025178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B72DA1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E60D6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B4C0B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884DA7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2F01B7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02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5D22" w:rsidRPr="000F4525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F09" w:rsidRPr="004D725F" w:rsidRDefault="00AB4A3D" w:rsidP="0073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60D21" w:rsidRPr="004D7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33F0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0CE3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3F0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96430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33F0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приступили к профессиональному обучению</w:t>
      </w:r>
      <w:r w:rsidR="0078327A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дополнительному профессиональному образованию (далее – профессиональное обучение)</w:t>
      </w:r>
      <w:r w:rsidR="0078327A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3F0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службы занятости </w:t>
      </w:r>
      <w:r w:rsidR="009920D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44E1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772</w:t>
      </w:r>
      <w:r w:rsidR="00733F0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F44E1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3F0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9920D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44E1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="00733F0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</w:t>
      </w:r>
      <w:r w:rsidR="00CF44E1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r w:rsidR="00733F0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в период отпуска</w:t>
      </w:r>
      <w:r w:rsidR="009920D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уходу за ребёнком до достижения им возраста трёх лет</w:t>
      </w:r>
      <w:r w:rsidR="00C70CE3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327A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E1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 </w:t>
      </w:r>
      <w:r w:rsidR="00733F09" w:rsidRPr="004D725F">
        <w:rPr>
          <w:rFonts w:ascii="Times New Roman" w:eastAsia="Calibri" w:hAnsi="Times New Roman" w:cs="Times New Roman"/>
          <w:sz w:val="24"/>
          <w:szCs w:val="24"/>
        </w:rPr>
        <w:t>незанятых граждан, которым</w:t>
      </w:r>
      <w:r w:rsidR="009920D6" w:rsidRPr="004D7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0B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733F09" w:rsidRPr="004D725F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назначена страховая пенсия</w:t>
      </w:r>
      <w:r w:rsidR="009E5D22" w:rsidRPr="004D7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0B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733F09" w:rsidRPr="004D725F">
        <w:rPr>
          <w:rFonts w:ascii="Times New Roman" w:eastAsia="Calibri" w:hAnsi="Times New Roman" w:cs="Times New Roman"/>
          <w:sz w:val="24"/>
          <w:szCs w:val="24"/>
        </w:rPr>
        <w:t>по старости и которые стремятся возобновить</w:t>
      </w:r>
      <w:proofErr w:type="gramEnd"/>
      <w:r w:rsidR="00733F09" w:rsidRPr="004D725F">
        <w:rPr>
          <w:rFonts w:ascii="Times New Roman" w:eastAsia="Calibri" w:hAnsi="Times New Roman" w:cs="Times New Roman"/>
          <w:sz w:val="24"/>
          <w:szCs w:val="24"/>
        </w:rPr>
        <w:t xml:space="preserve"> трудовую деятельность</w:t>
      </w:r>
      <w:r w:rsidR="00C70CE3" w:rsidRPr="004D7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0D6" w:rsidRPr="004D725F">
        <w:rPr>
          <w:rFonts w:ascii="Times New Roman" w:eastAsia="Calibri" w:hAnsi="Times New Roman" w:cs="Times New Roman"/>
          <w:sz w:val="24"/>
          <w:szCs w:val="24"/>
        </w:rPr>
        <w:t xml:space="preserve">(далее – пенсионеры) </w:t>
      </w:r>
      <w:r w:rsidR="007720B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77F7B" w:rsidRPr="004D725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F44E1" w:rsidRPr="004D725F">
        <w:rPr>
          <w:rFonts w:ascii="Times New Roman" w:eastAsia="Calibri" w:hAnsi="Times New Roman" w:cs="Times New Roman"/>
          <w:sz w:val="24"/>
          <w:szCs w:val="24"/>
        </w:rPr>
        <w:t>58</w:t>
      </w:r>
      <w:r w:rsidR="00C70CE3" w:rsidRPr="004D7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F7B" w:rsidRPr="004D725F">
        <w:rPr>
          <w:rFonts w:ascii="Times New Roman" w:hAnsi="Times New Roman" w:cs="Times New Roman"/>
          <w:sz w:val="24"/>
          <w:szCs w:val="24"/>
        </w:rPr>
        <w:t>незанятых инвалидов</w:t>
      </w:r>
      <w:r w:rsidR="00735B52" w:rsidRPr="004D725F">
        <w:rPr>
          <w:rFonts w:ascii="Times New Roman" w:hAnsi="Times New Roman" w:cs="Times New Roman"/>
          <w:sz w:val="24"/>
          <w:szCs w:val="24"/>
        </w:rPr>
        <w:t>, обратившихся в службу занятости населения за содействием в поиске подходящей работы</w:t>
      </w:r>
      <w:r w:rsidR="004B6A52" w:rsidRPr="004D725F">
        <w:rPr>
          <w:rFonts w:ascii="Times New Roman" w:hAnsi="Times New Roman" w:cs="Times New Roman"/>
          <w:sz w:val="24"/>
          <w:szCs w:val="24"/>
        </w:rPr>
        <w:t xml:space="preserve"> (далее - незанятые инвалиды)</w:t>
      </w:r>
      <w:r w:rsidR="00733F09" w:rsidRPr="004D72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B52" w:rsidRPr="004D725F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безработных граждан осуществлялось</w:t>
      </w:r>
      <w:r w:rsidR="0076460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72FD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имеющим спрос на рынке труда региона: </w:t>
      </w:r>
      <w:r w:rsidR="00735B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повар, </w:t>
      </w:r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автотранспортного средства</w:t>
      </w:r>
      <w:r w:rsidR="009920D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(различные категории)</w:t>
      </w:r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погрузчика, </w:t>
      </w:r>
      <w:r w:rsidR="00735B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электромонтер, кладовщик, оператор котельной,</w:t>
      </w:r>
      <w:r w:rsidR="00E60D21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слесарь-сантехник</w:t>
      </w:r>
      <w:r w:rsidR="00735B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машинист экскаватора, швея, </w:t>
      </w:r>
      <w:proofErr w:type="spellStart"/>
      <w:r w:rsidR="00735B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="00735B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0D21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B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докер-механизатор,</w:t>
      </w:r>
      <w:r w:rsidR="00E60D21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22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лесарь </w:t>
      </w:r>
      <w:proofErr w:type="spellStart"/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</w:t>
      </w:r>
      <w:r w:rsidR="0009422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9422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5B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бухгалтер, </w:t>
      </w:r>
      <w:r w:rsidR="00E60D21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парикмахер, </w:t>
      </w:r>
      <w:r w:rsidR="00735B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маникюрша, тракторист</w:t>
      </w:r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0D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</w:t>
      </w:r>
      <w:r w:rsidR="00EB44F8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20D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</w:t>
      </w:r>
      <w:r w:rsidR="00EB44F8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0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терапии</w:t>
      </w:r>
      <w:r w:rsidR="00E60D21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дошкольной образовательной организации</w:t>
      </w:r>
      <w:r w:rsidR="006009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сметное дело</w:t>
      </w:r>
      <w:r w:rsidR="00735B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End"/>
    </w:p>
    <w:p w:rsidR="00733F09" w:rsidRPr="004D725F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21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безработных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</w:t>
      </w:r>
      <w:r w:rsidR="006009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обучение по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профессиям</w:t>
      </w:r>
      <w:r w:rsidR="008704A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20D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6B2F25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009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66,6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F09" w:rsidRPr="004D725F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9920D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профессионального обучения составила</w:t>
      </w:r>
      <w:r w:rsidR="006B2F25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D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99,8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F09" w:rsidRPr="004D725F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женщин осуществлялось под конкретные рабочие места</w:t>
      </w:r>
      <w:r w:rsidR="009E5D2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2620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0D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 (направлениям подготовки)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парикмахер, бухгалтер, </w:t>
      </w:r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proofErr w:type="gramStart"/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ухгалтерия, 1С:Управление торговлей, </w:t>
      </w:r>
      <w:r w:rsidR="00E82620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дошкольного образования»</w:t>
      </w:r>
      <w:r w:rsidR="00F216F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маникюрша, портной, повар, специалист кадровой службы</w:t>
      </w:r>
      <w:r w:rsidR="00C3151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по закупкам</w:t>
      </w:r>
      <w:r w:rsidR="00E82620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сестринское дело в педиатрии</w:t>
      </w:r>
      <w:r w:rsidR="00F216F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7E32C4" w:rsidRPr="004D725F" w:rsidRDefault="00733F09" w:rsidP="000F45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пенсионеров </w:t>
      </w:r>
      <w:r w:rsidR="004B6A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незанятых инвалидов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</w:t>
      </w:r>
      <w:r w:rsidR="008704A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72FD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A72FD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пользующ</w:t>
      </w:r>
      <w:r w:rsidR="004B6A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спросом на рынке труда региона: кладовщик, </w:t>
      </w:r>
      <w:r w:rsidR="004B6A5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кадровой службы, экскурсовод, бухгалтер, парикмахер, оператор котельной, электромонтер, водитель погрузчика, </w:t>
      </w:r>
      <w:r w:rsidR="00A72FD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охранник, обувщик по ремонту обуви </w:t>
      </w:r>
      <w:r w:rsidR="009E5D2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5802DE" w:rsidRPr="00DC5BC4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B4A3D" w:rsidRPr="004D725F" w:rsidRDefault="00AB4A3D" w:rsidP="0055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и психологическая поддержка</w:t>
      </w:r>
    </w:p>
    <w:p w:rsidR="00AB4A3D" w:rsidRPr="00A72FD7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4D725F" w:rsidRDefault="005E2BBC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ражданам оказаны </w:t>
      </w:r>
      <w:r w:rsidR="007D1D1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31172</w:t>
      </w:r>
      <w:r w:rsidR="007628B0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3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7D1D1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ударственные </w:t>
      </w:r>
      <w:r w:rsidR="00AB4A3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DB52C5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профориентационная </w:t>
      </w:r>
      <w:r w:rsidR="00AB4A3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услуга).</w:t>
      </w:r>
    </w:p>
    <w:p w:rsidR="00AB4A3D" w:rsidRPr="004D725F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олучатели профориентационных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услуг:</w:t>
      </w:r>
    </w:p>
    <w:p w:rsidR="00AB4A3D" w:rsidRPr="004D725F" w:rsidRDefault="00AB4A3D" w:rsidP="00553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14-29 лет –</w:t>
      </w:r>
      <w:r w:rsidR="00A24EB6" w:rsidRPr="004D725F">
        <w:t xml:space="preserve">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24EB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645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профориентационных </w:t>
      </w:r>
      <w:r w:rsidR="00A24EB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слуг;</w:t>
      </w:r>
    </w:p>
    <w:p w:rsidR="00AB4A3D" w:rsidRPr="004D725F" w:rsidRDefault="004D5907" w:rsidP="00553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безработные граждане </w:t>
      </w:r>
      <w:r w:rsidR="009E5D2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4EB6" w:rsidRPr="004D725F">
        <w:t xml:space="preserve"> </w:t>
      </w:r>
      <w:r w:rsidR="00A24EB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5504</w:t>
      </w:r>
      <w:r w:rsidR="007B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1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EB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B18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28F" w:rsidRPr="004D725F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4EB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4EB6" w:rsidRPr="004D725F">
        <w:t xml:space="preserve">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EB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909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профориентационных </w:t>
      </w:r>
      <w:r w:rsidR="00A24EB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028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слуг;</w:t>
      </w:r>
    </w:p>
    <w:p w:rsidR="00AB4A3D" w:rsidRPr="004D725F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стремящиеся возобновить трудовую деятельность после длительного (</w:t>
      </w:r>
      <w:r w:rsidR="005025BB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года) перерыва</w:t>
      </w:r>
      <w:r w:rsidR="00312F5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24EB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1619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профориентационных </w:t>
      </w:r>
      <w:r w:rsidR="00A24EB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12F5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4D725F" w:rsidRDefault="00AB4A3D" w:rsidP="00553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</w:t>
      </w:r>
      <w:r w:rsidR="005025BB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312F5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24EB6" w:rsidRPr="004D725F">
        <w:t xml:space="preserve">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EB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349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профориентационных </w:t>
      </w:r>
      <w:r w:rsidR="00312F5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слуг;</w:t>
      </w:r>
    </w:p>
    <w:p w:rsidR="00AB4A3D" w:rsidRPr="004D725F" w:rsidRDefault="00AB4A3D" w:rsidP="00553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пр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едпенсионного возраста – </w:t>
      </w:r>
      <w:r w:rsidR="00A24EB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773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620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F5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E82620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2F5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4D725F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образовательных организаций ока</w:t>
      </w:r>
      <w:r w:rsidR="007B21C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заны </w:t>
      </w:r>
      <w:r w:rsidR="00312F5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21014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</w:t>
      </w:r>
      <w:r w:rsidR="009F3310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F5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слуг, </w:t>
      </w:r>
      <w:r w:rsidR="00E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E2BB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  <w:r w:rsidR="00904F1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F5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13530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BF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52C5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1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государственного задания по профессиональной ориентации, установленного</w:t>
      </w:r>
      <w:r w:rsidR="00AF028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1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подведомственному комитету ГАОУ ДО Л</w:t>
      </w:r>
      <w:r w:rsidR="0058525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4F1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«Учебно-методический центр».</w:t>
      </w:r>
      <w:r w:rsidR="00E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04F1C" w:rsidRPr="004D7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4F1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904F1C" w:rsidRPr="004D7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ярмарок вакансий и учебных р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абочих мест </w:t>
      </w:r>
      <w:proofErr w:type="gramStart"/>
      <w:r w:rsidR="00904F1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904F1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8B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</w:t>
      </w:r>
      <w:r w:rsidR="007B21C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72DD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5854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21C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B21C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Воспитанникам </w:t>
      </w:r>
      <w:r w:rsidR="00553F5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ресурсных центров (детских домов)</w:t>
      </w:r>
      <w:r w:rsidR="00904F1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B21C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школ-интернатов </w:t>
      </w:r>
      <w:proofErr w:type="gramStart"/>
      <w:r w:rsidR="007B21C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</w:t>
      </w:r>
      <w:proofErr w:type="gramEnd"/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F5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  <w:r w:rsidR="009F1018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профориентационных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AB4A3D" w:rsidRPr="004D725F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передвижного центра профориентации прош</w:t>
      </w:r>
      <w:r w:rsidR="00141B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</w:t>
      </w:r>
      <w:r w:rsidR="001D5771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ационное тестирование и получил</w:t>
      </w:r>
      <w:r w:rsidR="00141B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рекомендации </w:t>
      </w:r>
      <w:r w:rsidR="00C57C2B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 по выбору профессии, сферы деятельности </w:t>
      </w:r>
      <w:r w:rsidR="00553F5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1555</w:t>
      </w:r>
      <w:r w:rsidR="00AE1C18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525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C18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</w:t>
      </w:r>
      <w:r w:rsidR="00B66BF9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E9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310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1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8525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(деревенских) школ</w:t>
      </w:r>
      <w:r w:rsidR="006434E0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E0" w:rsidRPr="004D725F" w:rsidRDefault="006434E0" w:rsidP="0064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рамках 210 заключенных  соглашений с работодателями об оказании услуг  по профессиональной диагностике кандидатов на вакантные рабочие места протестированы </w:t>
      </w:r>
      <w:r w:rsid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308 соискателей, из них трудоустроены по результатам 174 человека.</w:t>
      </w:r>
    </w:p>
    <w:p w:rsidR="00AB4A3D" w:rsidRPr="004D725F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12F5D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1540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образовательных организаций при содействии ГКУ ЦЗН ЛО проведены </w:t>
      </w:r>
      <w:r w:rsidR="00553F5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73 экскурсии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 и в организации Ленинградской области.</w:t>
      </w:r>
    </w:p>
    <w:p w:rsidR="00AB4A3D" w:rsidRPr="004D725F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отным гражданам оказаны </w:t>
      </w:r>
      <w:r w:rsidR="00553F5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1434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3F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7B21C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</w:t>
      </w:r>
      <w:r w:rsid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3F5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</w:t>
      </w:r>
      <w:r w:rsidR="00C57C2B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активизацию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553F5C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:rsidR="00AB4A3D" w:rsidRPr="004D725F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работных граждан, получивших государственную услугу</w:t>
      </w:r>
      <w:r w:rsid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4D725F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инвалидов, </w:t>
      </w:r>
      <w:r w:rsidR="009E5D22" w:rsidRPr="004D7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F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                        по психологической поддержке безработных граждан;</w:t>
      </w:r>
    </w:p>
    <w:p w:rsidR="00C57C2B" w:rsidRPr="004D725F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CF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FE4CF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C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F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299</w:t>
      </w:r>
      <w:r w:rsidR="00C57C2B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</w:t>
      </w:r>
      <w:r w:rsid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</w:t>
      </w:r>
      <w:bookmarkStart w:id="0" w:name="_GoBack"/>
      <w:bookmarkEnd w:id="0"/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поддержке безработных граждан;</w:t>
      </w:r>
    </w:p>
    <w:p w:rsidR="007E32C4" w:rsidRPr="004D725F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года) перерыва, – </w:t>
      </w:r>
      <w:r w:rsidR="00FE4CF6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="004D5907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4D7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 по психологической поддержке безработных граждан.</w:t>
      </w:r>
    </w:p>
    <w:p w:rsidR="00AB4A3D" w:rsidRPr="00A72FD7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7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4A3D" w:rsidRPr="00A6749B" w:rsidRDefault="00AB4A3D" w:rsidP="00AB4A3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AB4A3D" w:rsidRPr="00A6749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A6749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:rsidR="000F4525" w:rsidRPr="00A6749B" w:rsidRDefault="0023303D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 по социальной адаптации безработных граждан</w:t>
      </w:r>
      <w:r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71E6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1321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 </w:t>
      </w:r>
      <w:r w:rsidR="00971E6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696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</w:t>
      </w:r>
      <w:r w:rsidR="005961C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67E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8B0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1E6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5C352F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1E6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971E6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167E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28,</w:t>
      </w:r>
      <w:r w:rsidR="00971E6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52F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1E6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71E6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9E5D22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 (</w:t>
      </w:r>
      <w:r w:rsidR="001D5771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19,</w:t>
      </w:r>
      <w:r w:rsidR="00971E6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3F6A6A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1E6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стремящи</w:t>
      </w:r>
      <w:r w:rsidR="007628B0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DF167E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1E6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4A3D" w:rsidRPr="00A6749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F4525" w:rsidRPr="00331E39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525" w:rsidRPr="00A6749B" w:rsidRDefault="00AB4A3D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:rsidR="005802DE" w:rsidRPr="00331E39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51EC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рганизовано и проведено</w:t>
      </w:r>
      <w:proofErr w:type="gramEnd"/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E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364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24472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C5643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C5643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7C5643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D07400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заведений.</w:t>
      </w:r>
    </w:p>
    <w:p w:rsidR="00AB4A3D" w:rsidRPr="00A6749B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3F6A6A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A6749B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6668D9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7560F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EA5F3B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специализированн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населения, </w:t>
      </w:r>
      <w:r w:rsidR="003F6A6A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C11A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мини-ярмарк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703FC5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5D22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03FC5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межрайонные, 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51437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– районные</w:t>
      </w:r>
      <w:r w:rsidR="004A5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C51437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 – районные ярмарки профессий,</w:t>
      </w:r>
      <w:r w:rsidR="006668D9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51437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495B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– Е</w:t>
      </w:r>
      <w:r w:rsid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диный день трудоустройства,</w:t>
      </w:r>
      <w:r w:rsidR="0013495B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6A6A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C5643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C5643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дистанционные</w:t>
      </w:r>
      <w:r w:rsidR="00703FC5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A6749B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для организации временных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для организации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сезонных работ; </w:t>
      </w:r>
      <w:r w:rsidR="0017560F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выпускников профессиональн</w:t>
      </w: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образовательных организаций; 10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организации общественных работ; 1</w:t>
      </w: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женщин; 1</w:t>
      </w: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лиц, вернувшихся из мест лишения свободы и отбывающих наказание условно; </w:t>
      </w:r>
      <w:r w:rsidR="003F6A6A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предпенсионного возраста; 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организации </w:t>
      </w:r>
      <w:r w:rsidR="00F60A26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временной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занятости подростков;</w:t>
      </w:r>
      <w:proofErr w:type="gramEnd"/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6A6A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</w:t>
      </w:r>
      <w:r w:rsidR="00532A6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AB4A3D" w:rsidRPr="00A6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5DCA" w:rsidRPr="00331E39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13495B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:rsidR="00AB4A3D" w:rsidRPr="0013495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                         и оперативные. </w:t>
      </w: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Продолжал эффективно функционировать официальный сайт 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www.job.lenobl.ru, на котором размещалась: ежедневная информация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 документы, «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банк» вакансий Ленинградской области. </w:t>
      </w: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более удобного перехода к «банку» вакансий на главной странице размещен баннер портала «Работа               в России». 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добавлена вкладка «анонсы», где публиковалась информация о предстоящих мероприятиях службы занятости, памятка «Безопасный труд» в виде баннера на главной странице и баннер портала «Территория труда» для соотечественников.</w:t>
      </w: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представлены и регулярно обновлялись вакансии: с предоставлением                  жилья; для лиц с ограниченными возможностями.</w:t>
      </w: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на сайте комитета размещалась информация о мероприятиях, проводимых службой занятости, наглядные примеры трудоустройства жителей региона. Активно публиковались истории успеха предпринимателей в рамках проекта «Займись делом». Своими впечатлениями о новом месте работы делились люди с ограничениями по здоровью. Работодатели рассказывали об опыте трудоустройства инвалидов. Освещались новые направления работы биржи труда в 2017 году: проект «Бабушка на час», форум «Биржа деловых контактов», мобильный комплекс по охране труда и другие.</w:t>
      </w: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комитета публиковались релизы, связанные с популяризацией рабочих профессий, профессионального обучения, велась активная пиар-акция в преддверии «Единого дня трудоустройства», который прошел в Ленинградской области 10 октября 2017 года.</w:t>
      </w: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 расширяться группа комитета в социальных сетях «</w:t>
      </w:r>
      <w:proofErr w:type="spellStart"/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» https://vk.com/ktzn_lo, на новости которой подписались около 1000 человек. Количество подписчиков</w:t>
      </w:r>
      <w:r w:rsidR="0013495B"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увеличивается. Создана закрытая группа «</w:t>
      </w:r>
      <w:proofErr w:type="spellStart"/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коллектива службы занятости, в рамках которой можно обсуждать различные проблемы, задавать вопросы, делиться предложениями. </w:t>
      </w: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продолжает свою работу профиль комитета в социальной сети «Инстаграм» https://www.instagram.com/ktzn_lo/, где ежедневно публиковались фотоотчеты с мероприятий                   и краткая информация о прошедших событиях</w:t>
      </w:r>
      <w:r w:rsidRPr="0013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2017 год на странице «Инстаграм» размещено 595 публикаций, в том числе нововведение комитета – </w:t>
      </w:r>
      <w:proofErr w:type="spellStart"/>
      <w:r w:rsidRPr="0013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видеовакансии</w:t>
      </w:r>
      <w:proofErr w:type="spellEnd"/>
      <w:r w:rsidRPr="0013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граждан ищущих работу и </w:t>
      </w:r>
      <w:proofErr w:type="spellStart"/>
      <w:r w:rsidRPr="0013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видеоотзывы</w:t>
      </w:r>
      <w:proofErr w:type="spellEnd"/>
      <w:r w:rsidRPr="0013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трудоустроенных граждан. </w:t>
      </w: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Продолжило работу официальное представительство в социальной сети «</w:t>
      </w:r>
      <w:r w:rsidRPr="0013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13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https://www.facebook.com/groups/1654758288183858/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13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группе более 200 участников, число желающих вступить в группу постепенно увеличивается. Комитет стремится быть открытым и доступным для всех пользователей Интернета. </w:t>
      </w: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формирование перспективного кадрового потенциала на территории Ленинградской области одна из главных целей службы занятости. </w:t>
      </w:r>
      <w:r w:rsidRPr="0013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сети позволяют привлечь внимание молодого поколения к работе комитета и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освещать информацию                 о ситуации на рынке труда Ленинградской области. Подписчики имеют возможность задавать интересующие вопросы специалистам службы занятости, что позволяет гражданам получать нужную информацию оперативно в онлайн режиме. Юридический отдел комитета формирует официальный ответ, который в короткие сроки получает обратившийся.</w:t>
      </w: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работу канал </w:t>
      </w:r>
      <w:r w:rsidRPr="001349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размещаются репортажи, интервью, новостные сюжеты, связанные с работой службы занятости, выступления руководителей, в том числе ролики о создании рабочих мест для инвалидов с реальными участниками                                          и работодателями.</w:t>
      </w:r>
    </w:p>
    <w:p w:rsidR="00A83CC8" w:rsidRPr="0013495B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использовались СМИ регионального и районного масштабов. </w:t>
      </w:r>
      <w:r w:rsidR="00C27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</w:t>
      </w:r>
      <w:r w:rsidR="00C27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более 650 материалов: объявлений о предстоящих ярмарках вакансий,</w:t>
      </w: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обновлялась информация о количестве свободных рабочих мест, освещались мероприятия службы занятости.</w:t>
      </w:r>
    </w:p>
    <w:p w:rsidR="00A83CC8" w:rsidRPr="0013495B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 и т.д.</w:t>
      </w: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размещены информационные материалы, выступления руководителей и</w:t>
      </w:r>
      <w:bookmarkStart w:id="1" w:name="_Toc299357663"/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службы занятости. </w:t>
      </w:r>
    </w:p>
    <w:p w:rsidR="00A83CC8" w:rsidRPr="0013495B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работе комитета регулярно появлялась и в интернет-изданиях: 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49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1349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1349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</w:t>
      </w:r>
      <w:proofErr w:type="gramStart"/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телевизионных</w:t>
      </w:r>
      <w:proofErr w:type="gramEnd"/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«Ленинградское областное телевидение»,         «</w:t>
      </w:r>
      <w:r w:rsidRPr="001349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78».</w:t>
      </w:r>
    </w:p>
    <w:bookmarkEnd w:id="1"/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филиалах ГКУ ЦЗН ЛО функционировали информационные киоски, телефоны «горячей линии», табло «бегущая строка», предоставляющие наиболее важную для клиентов информацию (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работы, перечень предоставляемых услуг и т.д.). Еженедельно ГКУ ЦЗН ЛО направляют информацию о наличии рабочих мест в местные СМИ.</w:t>
      </w: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использоваться публичные точки коллективного доступа к Интернету                          на основе технологии </w:t>
      </w:r>
      <w:proofErr w:type="spellStart"/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появились в филиалах ГКУ ЦЗН ЛО в 2016 году. Проект нацелен на возможность бесплатного доступа к Интернету социально незащищенных категорий населения. </w:t>
      </w:r>
    </w:p>
    <w:p w:rsidR="00A83CC8" w:rsidRPr="0013495B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региона получают возможность доступа к общероссийской базе вакансий, порталу государственных и муниципальных услуг, а также к информации о деятельности органов исполнительной власти Ленинградской области и органов местного самоуправления.</w:t>
      </w:r>
    </w:p>
    <w:p w:rsidR="00A83CC8" w:rsidRPr="0013495B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</w:p>
    <w:p w:rsidR="00A83CC8" w:rsidRPr="0013495B" w:rsidRDefault="00A83CC8" w:rsidP="00134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год на сайте комитета опубликовано 296 информационных</w:t>
      </w:r>
      <w:r w:rsidR="0013495B"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аналитических материалов. На радио более 100 раз размещена информация о вакансиях, информация </w:t>
      </w:r>
      <w:r w:rsid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предстоящих мероприятиях службы занятости. На телевидении представлено</w:t>
      </w:r>
      <w:r w:rsidR="0013495B"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13495B">
        <w:rPr>
          <w:rFonts w:ascii="Times New Roman" w:eastAsia="Times New Roman" w:hAnsi="Times New Roman" w:cs="Times New Roman"/>
          <w:sz w:val="24"/>
          <w:szCs w:val="24"/>
          <w:lang w:eastAsia="ru-RU"/>
        </w:rPr>
        <w:t>135 информационных материалов и «бегущих строк» с вакансиями и объявлениями службы занятости.</w:t>
      </w:r>
    </w:p>
    <w:p w:rsidR="0013495B" w:rsidRDefault="0013495B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AB4A3D" w:rsidRPr="00E15DC4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E15DC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:rsidR="00AB4A3D" w:rsidRPr="000F4525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400C3" w:rsidRPr="00B5489F" w:rsidRDefault="002A6C1D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8400C3" w:rsidRPr="00B5489F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909A8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по безработице выплачено </w:t>
      </w:r>
      <w:r w:rsidR="003909A8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12563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гражданам, что на 1</w:t>
      </w:r>
      <w:r w:rsidR="003909A8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740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з</w:t>
      </w:r>
      <w:r w:rsidR="00DC11AD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аналогичный период 2016 года 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09A8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14303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909A8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00C3" w:rsidRPr="00B5489F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среднего размера пособия по безработице составляла 37</w:t>
      </w:r>
      <w:r w:rsidR="003909A8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70,17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1,6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сравнению с 2016 годом (</w:t>
      </w:r>
      <w:r w:rsidR="003909A8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3710,6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8400C3" w:rsidRPr="00B5489F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увеличилось количество безработных граждан, получавших пособие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безработице в минимальном размере. В 2017 году доля этой категории граждан составляла 38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– 36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8400C3" w:rsidRPr="00B5489F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органов службы занятости, составляло 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1388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EA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по сравнению </w:t>
      </w:r>
      <w:r w:rsidR="009D3699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аналогичным периодом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(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1486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</w:t>
      </w:r>
    </w:p>
    <w:p w:rsidR="008400C3" w:rsidRPr="00B5489F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органов службы занят</w:t>
      </w:r>
      <w:r w:rsidR="0001223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составляла 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3010,17</w:t>
      </w:r>
      <w:r w:rsidR="0001223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23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</w:t>
      </w:r>
      <w:r w:rsidR="0001223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3298,98</w:t>
      </w:r>
      <w:r w:rsidR="008400C3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8400C3" w:rsidRPr="00B5489F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Увеличилось количество граждан, получавших стипендию в минимальном размере. Доля этой кате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гории граждан в 2017 году – 55,6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2016 году – 52,6%.</w:t>
      </w:r>
    </w:p>
    <w:p w:rsidR="008400C3" w:rsidRPr="00B5489F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Досрочные пенсии выплачены 1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71 безработному гражданину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C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80411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8400C3" w:rsidRPr="00B5489F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оказана 44 гражданам, за 2016 года – 24 гражданам, в связи с истечением установленного периода </w:t>
      </w:r>
      <w:r w:rsidR="00C41007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пособия по безработице 2 гражданам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9A32F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:rsidR="00AB4A3D" w:rsidRPr="002F01B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AC8" w:rsidRPr="00B5489F" w:rsidRDefault="00C20AC8" w:rsidP="00C2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proofErr w:type="spell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 15 соглашений в сфере труда </w:t>
      </w:r>
      <w:r w:rsidR="001C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445 коллективных договоров, из них: 27 – впервые, а также 176 дополнений и изменений </w:t>
      </w:r>
      <w:r w:rsidR="001C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коллективным договорам. </w:t>
      </w:r>
      <w:proofErr w:type="gramEnd"/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01.01.2018 в Ленинградской области действуют 40 соглашений в сфере труда </w:t>
      </w:r>
      <w:r w:rsidR="001C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 1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441 коллективных договоров организаций области. Численность работников, охваченных коллективными договорами, составляет 209,4 тыс. человек. 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размещен</w:t>
      </w:r>
      <w:proofErr w:type="gramEnd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комитета макет коллективного договора.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шесть заседаний Ленинградской областной трехсторонней комиссии</w:t>
      </w:r>
      <w:r w:rsidR="00985E40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регулированию социально-трудовых отношений (далее – ЛОТК), на которых рассматривались проекты областных законов «Об охране труда в Ленинградской области», «О внесении изменений в областной закон Ленинградской области от 15.10.2003 № 74-оз «О квотировании рабочих мест</w:t>
      </w:r>
      <w:r w:rsidR="00985E40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трудоустройства инвалидов в Ленинградской области», основные параметры проекта областного бюджета Ленинградской области на 2018 год и плановый период </w:t>
      </w:r>
      <w:r w:rsidR="00C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proofErr w:type="gramEnd"/>
      <w:r w:rsidR="00C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2020 годов,</w:t>
      </w:r>
      <w:r w:rsidR="00C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 вопросы: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майских Указов Президента Российской Федерации по повышению заработной платы  отдельных категорий работников бюджетной сферы  Ленинградской области;</w:t>
      </w:r>
      <w:r w:rsidR="00F6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клещевого энцефалита и клещевого </w:t>
      </w:r>
      <w:proofErr w:type="spell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области; организации детской оздоровительной кампании в 2017 году;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работодателей внебюджетного сектора экономики в организации временного трудоустройства несовершеннолетних граждан в возрасте от 14 до 18 лет в свободное от учебы время;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Отделения Пенсионного фонда Российской Федерации по Санкт-Петербургу и Ленинградской области и регионального объединения работодателей «Союз промышленников и предпринимателей Ленинградской области» в рамках заключенного соглашения;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заработной плате  в хозяйствующих субъектах Ленинградской области; отказы работодателей от присоединения к региональному соглашению о минимальной заработной плате в Ленинградской области на 2017 год;</w:t>
      </w:r>
    </w:p>
    <w:p w:rsidR="00C20AC8" w:rsidRPr="00B5489F" w:rsidRDefault="00C20AC8" w:rsidP="00C20AC8">
      <w:pPr>
        <w:spacing w:after="0" w:line="240" w:lineRule="auto"/>
        <w:ind w:firstLine="703"/>
        <w:jc w:val="both"/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на рынке труда в моногородах Ленинградской области;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реализации мероприятий долгосрочной целевой программы «Устойчивое развитие сельских территорий Ленинградской области на 2014-2017 годы и на период до 2020 года»;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социально-экономического развития Ленинградской области в 2016 году;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ситуации на предприятиях Ленинградской области, допустивших случаи тяжелого травматизма и травматизма со смертельным исходом;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созданию рабочих мест в сфере малого и среднего предпринимательства путем предоставления субсидий субъектам малого и среднего предпринимательства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и взаимодействия с действующими </w:t>
      </w:r>
      <w:r w:rsidR="00F6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Ленинградской области структурными подразделениями общероссийских общественных объединений, в уставные цели которых входит содействие созданию условий</w:t>
      </w:r>
      <w:proofErr w:type="gramEnd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малого и среднего предпринимательства;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профессиональных стандартов в организациях в Ленинградской области </w:t>
      </w:r>
      <w:r w:rsidR="00F6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вопросы.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ЛОТК организованы и проведены коллективные переговоры по подготовке проектов регионального соглашения о минимальной заработной плате в Ленинградской области на 2018 год и обязатель</w:t>
      </w:r>
      <w:proofErr w:type="gram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2018 год к рамочному Ленинградскому трехстороннему соглашению о проведении социально-экономической политики и развитии социального партнерства на 2016-2018 годы.</w:t>
      </w:r>
    </w:p>
    <w:p w:rsidR="00C20AC8" w:rsidRPr="00B5489F" w:rsidRDefault="00C20AC8" w:rsidP="00C20AC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21.09.2017 подписаны Губернатором Ленинградской области </w:t>
      </w:r>
      <w:proofErr w:type="spell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А.Ю.Дрозденко</w:t>
      </w:r>
      <w:proofErr w:type="spellEnd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генеральным директором регионального объединения работодателей «Союз промышленников и предпринимателей Ленинградской области» </w:t>
      </w:r>
      <w:proofErr w:type="spell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А.Ф.Габитовым</w:t>
      </w:r>
      <w:proofErr w:type="spellEnd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председателем общественной организации Межрегиональное Санкт-Петербурга и Ленинградской области объединение организаций профсоюзов «Ленинградская Федерация Профсоюзов» </w:t>
      </w:r>
      <w:proofErr w:type="spell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В.Г.Дербиным</w:t>
      </w:r>
      <w:proofErr w:type="spellEnd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20AC8" w:rsidRPr="00B5489F" w:rsidRDefault="00C20AC8" w:rsidP="00C2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на душу населения и по основным </w:t>
      </w:r>
      <w:r w:rsidR="0031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социально-демографическим группам населения за </w:t>
      </w:r>
      <w:r w:rsidRPr="00B5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2016 года, </w:t>
      </w:r>
      <w:r w:rsidRPr="00B5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5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кварталы </w:t>
      </w:r>
      <w:r w:rsidR="00B5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утверждена постановлениями Правительства Ленинградской области соответственно</w:t>
      </w:r>
      <w:r w:rsidR="00985E40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13.02.2017</w:t>
      </w:r>
      <w:r w:rsidR="00985E40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20, от 06.06.2017 № 197, от 10.08.2017 № 322 и от 07.11.2017 № 450. </w:t>
      </w:r>
    </w:p>
    <w:p w:rsidR="00C20AC8" w:rsidRPr="00B5489F" w:rsidRDefault="00C20AC8" w:rsidP="00C2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в Ленинградской области утверждены постановлением Правительства Ленинградской области  от 06.03.2017 № 46.</w:t>
      </w:r>
    </w:p>
    <w:p w:rsidR="00C20AC8" w:rsidRPr="00B5489F" w:rsidRDefault="00C20AC8" w:rsidP="00C2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размещения информации о среднемесячной заработной плате руководителей, </w:t>
      </w:r>
      <w:r w:rsidR="0031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заместителей и главных бухгалтеров территориального фонда обязательного медицинского страхования Ленинградской области, государственных учреждений Ленинградской области </w:t>
      </w:r>
      <w:r w:rsidR="0031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государственных унитарных предприятий Ленинградской области утвержден постановлением Правительства Ленинградской области от 13.03.2017 № 56.</w:t>
      </w:r>
    </w:p>
    <w:p w:rsidR="00C20AC8" w:rsidRPr="00B5489F" w:rsidRDefault="00C20AC8" w:rsidP="00C2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прожиточного минимума пенсионера в Ленинградской области в целях установления социальной доплаты к пенсии на 2018 год утверждена областным законом</w:t>
      </w:r>
      <w:r w:rsidR="00985E40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№ 91-оз.</w:t>
      </w:r>
    </w:p>
    <w:p w:rsidR="00C20AC8" w:rsidRPr="00B5489F" w:rsidRDefault="00C20AC8" w:rsidP="00C2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Продолжалось проведение мониторинга снижения неформальной занятости на территории Ленинградской области, наличия задолженности по заработной плате перед работниками, а также выполнения работодателями договоренностей регионального соглашения о минимальной заработной плате в Ленинградской области на 2017 год.</w:t>
      </w:r>
    </w:p>
    <w:p w:rsidR="00C20AC8" w:rsidRPr="00B5489F" w:rsidRDefault="00C20AC8" w:rsidP="00C2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11 заседаний рабочей группы по мониторингу своевременности и полноты выплаты заработной платы хозяйствующими субъектами Ленинградской области, образованной</w:t>
      </w:r>
      <w:r w:rsidR="00985E40"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от 14.03.2016 № 17.</w:t>
      </w:r>
    </w:p>
    <w:p w:rsidR="00C20AC8" w:rsidRPr="00B5489F" w:rsidRDefault="00C20AC8" w:rsidP="00C2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и размещена</w:t>
      </w:r>
      <w:proofErr w:type="gramEnd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комитета информация для работников организаций Ленинградской области по обращению в суд в случае задержки работодателями выплаты заработной платы.</w:t>
      </w:r>
    </w:p>
    <w:p w:rsidR="00084096" w:rsidRPr="00B5489F" w:rsidRDefault="00C20AC8" w:rsidP="00C2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и проведено</w:t>
      </w:r>
      <w:proofErr w:type="gramEnd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председательством Губернатора Ленинградской области </w:t>
      </w:r>
      <w:proofErr w:type="spellStart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А.Ю.Дрозденко</w:t>
      </w:r>
      <w:proofErr w:type="spellEnd"/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заседания комиссии по обеспечению устойчивого развития экономики </w:t>
      </w:r>
      <w:r w:rsidR="0031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стабильности в Ленинградской области по вопросу снижения уровня задолженности по заработной плате на предприятиях и в организациях Ленинградской области, которые состоялись 19.04.2017 и 21.11.2017.</w:t>
      </w:r>
    </w:p>
    <w:p w:rsidR="009A32F4" w:rsidRPr="009A32F4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59AC" w:rsidRDefault="001159AC" w:rsidP="0011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сохраняется положительная тенденция на снижение производственного травматизма.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B07" w:rsidRPr="001159AC" w:rsidRDefault="001159AC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сведениям, предоставленным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учреждением </w:t>
      </w:r>
      <w:r w:rsidR="00B548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Ленинградское региональное </w:t>
      </w:r>
      <w:r w:rsidRPr="0006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Фонда социального страхования Российской Федерации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  <w:r w:rsidR="0036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Ленинградской области зарегистрировано 457 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частных случаев </w:t>
      </w:r>
      <w:r w:rsidR="003A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производстве, что составило 97% от показателя 2016 года – 471</w:t>
      </w:r>
      <w:r w:rsidR="0036784D" w:rsidRPr="0036784D">
        <w:t xml:space="preserve"> </w:t>
      </w:r>
      <w:r w:rsidR="0036784D" w:rsidRPr="00367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</w:t>
      </w:r>
      <w:r w:rsidR="003678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6784D" w:rsidRPr="0036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3678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по вопросам охраны труда за 2017 год специалисты комитета приняли участие в организации и помогли в проведении совместно </w:t>
      </w:r>
      <w:r w:rsidR="0036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78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органов местного самоуправления 826 мероприятий (семинаров, конференций, форумов, круглых столов, совещаний и др. мероприятий), в которых участвовало 10730 человек (из них 246 мероприятий проведено комитетом с участием 3760 человек).</w:t>
      </w:r>
      <w:proofErr w:type="gramEnd"/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мероприятий, направленных на снижение производственного               травматизма и улучшение условий труда в организациях Ленинградской области, обеспечивалась        работа Ленинградской областной и территориальных межведомственных комиссий по охране               труда, по координации действий органов управления, надзора и контроля, общественных объединений по вопросам охраны труда. 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организовал и провел 4 заседания Ленинградской областной </w:t>
      </w:r>
      <w:r w:rsidR="000A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A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рассматривались актуальные вопросы охраны труда </w:t>
      </w:r>
      <w:r w:rsidR="000A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координировалась работа по выполнению решений комиссии, рассматривались вопросы состояния условий труда на предприятиях</w:t>
      </w:r>
      <w:r w:rsidR="000A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организациях Ленинградской области, уровня производственного травматизма, профессиональной заболеваемости, организации и проведения медицинских осмотров, а также реализации программ производственного контроля.</w:t>
      </w:r>
      <w:proofErr w:type="gramEnd"/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комитета приняли участие в организации и проведении 17 заседаний территориальных межведомственных комиссий по охране труда </w:t>
      </w:r>
      <w:proofErr w:type="spell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(3 заседания), Всеволожского (3 заседания), Гатчинского (4 заседания), Кировского (2 заседания),  Ломоносовского, </w:t>
      </w:r>
      <w:proofErr w:type="spell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районов, где были представлены информационные показатели по вопросам охраны труда в Ленинградской области.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участвовал в 1 Региональном чемпионате «Молодые профессионалы» Ленинградской области 2017» (</w:t>
      </w:r>
      <w:proofErr w:type="spell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Россия). В рамках чемпионата проведена презентация передвижного мобильного комплекса по охране труда, а также деловая игра и обучающий семинар по охране труда на тему «Территория безопасного труда» с развёртыванием и демонстрацией комплекса на базе ГБОУ СПО ЛО «Кировский политехнический техникум» (Кировский муниципальный район). 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за счет бюджетных средств Ленинградской области, организовано и проведено   22 деловые игры и обучающие семинары по охране труда на тему «Территория безопасного труда» с развёртыванием и демонстрацией передвижного мобильного комплекса по охране труда               в 16 муниципальных образованиях Ленинградской области.</w:t>
      </w:r>
      <w:proofErr w:type="gram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проведены на базе образовательных учреждений Ленинградской области, в которых приняли участие 1434 учащихся     и студентов образовательных учреждений. 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</w:t>
      </w:r>
      <w:r w:rsidR="008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автопробег мобильного комплекса из Ленинградской области в город Сочи, где состоялась его презентация в рамках участия во «Всероссийской неделе охраны труда». По пути проведены три обучающих семинара для учащихся в городах Великий Новгород, Москва, Краснодар, в которых участвовали более 400 старшеклассников.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    с организациями, проводившими обучение по охране труда, проверку знаний требований охраны труда на территории Ленинградской области. 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12055 человек, представителей организаций Ленинградской области, прошли в 2017 году обучение и проверку знаний требований охраны труда, из них: 1923 руководителей организаций. По государственной программе, за счёт выделенных средств, было обучено 257 человек, их них 175 руководителей организаций.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 специалисты отдела охраны труда и социального партнёрства комитета </w:t>
      </w:r>
      <w:proofErr w:type="gram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и провели</w:t>
      </w:r>
      <w:proofErr w:type="gram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выездных семинаров на тему: </w:t>
      </w:r>
      <w:r w:rsidR="008C6F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вопросы и современная экономика охраны труда в условиях совершенствования законодательного регулирования», </w:t>
      </w:r>
      <w:r w:rsidR="008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приняли участие 1434 человека.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прав работников на получение объективной информации об условиях и охране труда на рабочих местах специалистами комитета проведены </w:t>
      </w:r>
      <w:r w:rsidR="008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государственных экспертиз условий труда на 50 рабочих местах (количество занятых на них работников – 110), в том числе, в целях оценки: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проведения специальной оценки условий труда – 4 экспертизы</w:t>
      </w:r>
      <w:r w:rsidR="008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49 рабочих местах (количество занятых на них работников – 109); 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условий труда – 1 экспертиза на 1 рабочем месте (количество занятых работников – 1 человек).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мероприятия по совершенствованию региональной нормативной правовой базы </w:t>
      </w:r>
      <w:proofErr w:type="gram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принят</w:t>
      </w:r>
      <w:proofErr w:type="gram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правовой акт комитета, регламентирующий вопросы оплаты государственной экспертизы условий труда, а также проводился ежемесячный мониторинг законодательства в области охраны труда. 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представителей комитета </w:t>
      </w:r>
      <w:r w:rsidR="00036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 Конференция «Актуальные вопросы охраны труда: внедрение системы управления охраной труда на предприятии», организованная                 по инициативе Северо-Западной ассоциации «Безопасный труд» и группой компаний </w:t>
      </w:r>
      <w:r w:rsidR="0003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«Восток-Сервис». Конференция проведена в целях продуктивного диалога между участниками                                 и представителями органов власти, повышения уровня информированности работодателей             и работников об изменениях в трудовом законодательстве, об особенностях применения профессиональных стандартов, поиска совместных решений по основным проблемам в сфере трудовых отношений и охраны труда.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комитета состоялась ежегодная конференция, посвященная Всемирному дню охраны труда. Тема конференции в этом году – «Оптимизация, сбор и использование данных            по охране труда». Организаторами конференции выступила компания                                         «</w:t>
      </w:r>
      <w:proofErr w:type="spell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Техноавиа</w:t>
      </w:r>
      <w:proofErr w:type="spell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-Санкт-Петербург». Для участников конференции (специалистов по охране труда                     и руководителей организаций) была подготовлена обширная программа. Компания                       «</w:t>
      </w:r>
      <w:proofErr w:type="spell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Техноавиа</w:t>
      </w:r>
      <w:proofErr w:type="spell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-Санкт-Петербург» (постоянный спонсор мероприятия) провела традиционный показ одежды производства компании «</w:t>
      </w:r>
      <w:proofErr w:type="spell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Техноавиа</w:t>
      </w:r>
      <w:proofErr w:type="spell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конкурс на правильные ответы по охране                            и безопасности труда.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подпрограммы «Улучшение условий и охраны труда          в Ленинградской области» специалисты комитета участвовали в  семинаре – совещании                          по вопросам проведения специальной оценки условий труда, государственной экспертизы условий труда, организованном и проведенном комитетом по социальной защите Ленинградской области,  в проведении круглого стола на тему: «Безопасность труда в строительстве», организованного комитетом по строительству Ленинградской области и союзом строительных организаций Ленинградской области – «</w:t>
      </w:r>
      <w:proofErr w:type="spell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ЛенОблСоюзСтрой</w:t>
      </w:r>
      <w:proofErr w:type="spell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представители комитета на Молодежном  образовательном форуме Северо-Западного федерального округа «Ладога-2017» (пос. </w:t>
      </w:r>
      <w:proofErr w:type="spell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Смолячково</w:t>
      </w:r>
      <w:proofErr w:type="spell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Санкт-Петербург) представили презентацию образовательного квеста по охране труда службы занятости в рамках расширения работы демонстрации мобильного комплекса по охране труда.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 Международном форуме по безопасности и охране труда, организованном общероссийской общественной организацией «Всероссийское объединение специалистов по охране труда», проходившего </w:t>
      </w:r>
      <w:r w:rsidR="00036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2017 года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в рамках XXI Международной выставки «Безопасность и охрана – 2017».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деловой программы Форума приняли участие в проведении: Всероссийского совещания с руководителями органов по труду и государственных инспекций по труду субъектов Российской Федерации; Международного конгресса организаций и специалистов по безопасности            и охране труда; Всероссийского съезда организаций, оказывающих услуги в сфере охраны труда      и других мероприятиях форума (конференциях, совещаниях, «круглых столах», семинарах</w:t>
      </w:r>
      <w:r w:rsidR="00C976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07" w:rsidRPr="009B4B07" w:rsidRDefault="009B4B07" w:rsidP="009B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Представители комитета </w:t>
      </w:r>
      <w:proofErr w:type="gram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и приняли</w:t>
      </w:r>
      <w:proofErr w:type="gram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Первом Ленинградском областном конгрессе по охране труда (ЛОКОТ), который проходил </w:t>
      </w:r>
      <w:r w:rsidR="005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2017 года                      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Стрельне,</w:t>
      </w:r>
      <w:r w:rsidR="005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 и собрал 250 </w:t>
      </w:r>
      <w:r w:rsidR="000A6A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(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 руководителей</w:t>
      </w:r>
      <w:r w:rsidR="000A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специалистов</w:t>
      </w:r>
      <w:r w:rsidR="000A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обеспечения условий и охраны труда</w:t>
      </w:r>
      <w:r w:rsidR="000A6A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Конгресс был посвящён актуальным вопросам развития охраны труда</w:t>
      </w:r>
      <w:r w:rsidR="005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Ленинградской области. На конгрессе были подведены итоги, организованных комитетом в 2017 году,  конкурсов: «Лучшая организация работы в области охраны труда среди организаций Ленинградской области» (6 номинаций) </w:t>
      </w:r>
      <w:r w:rsidR="000A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«Лучший специалист по охране труда» (3 номинации). Победителям были вручены призы </w:t>
      </w:r>
      <w:r w:rsidR="000A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A6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участие представителей комитета и администраций муниципальных районов в работе комиссий по расследованию несчастных случаев на производстве с тяжёлым                               и смертельным исходом в 143 организациях Ленинградской области.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проводимого ежеквартально мониторинга состояния условий и охраны труда, производственного травматизма и профессиональной заболеваемости в Ленинградской области подготовлена обзорная информация «Состояние охраны труда в Ленинградской области за 9 месяцев 2017 года» и  «Состояние охраны труда в Ленинградской области за 2017 год», которые, направляются руководителям органов исполнительной власти, главам администраций муниципальных районов Ленинградской области, обучающим организациям по охране труда, Ленинградскому</w:t>
      </w:r>
      <w:proofErr w:type="gramEnd"/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региональному отделению фонда социального страхования РФ, региональному объединению работодателей «Союз промышленников и предпринимателей Ленинградской области», Ленинградской Федерации Профсоюзов и размещаются на сайте комитета </w:t>
      </w:r>
      <w:hyperlink r:id="rId17" w:history="1">
        <w:r w:rsidRPr="009B4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www.job.lenobl.ru</w:t>
        </w:r>
      </w:hyperlink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4B07" w:rsidRPr="009B4B07" w:rsidRDefault="009B4B07" w:rsidP="009B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по информационному обеспечению и пропаганде охраны труда реализовывалось путем размещения на территории муниципальных районов Ленинградской области информационных материалов по охране труда (баннеров) с финансированием за счет бюджетных средств, а также путём еженедельного администрирования и обновления регионального интернет – ресурса  «Справочная информационная система охраны труда                  в Ленинградской области» </w:t>
      </w:r>
      <w:hyperlink r:id="rId18" w:history="1">
        <w:r w:rsidRPr="009B4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www.охранатрудавленобласти.рф</w:t>
        </w:r>
      </w:hyperlink>
    </w:p>
    <w:p w:rsidR="00DF0BA9" w:rsidRPr="009B4B07" w:rsidRDefault="00DF0BA9" w:rsidP="00B9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:rsidR="00CD7E8F" w:rsidRPr="00262A4E" w:rsidRDefault="00CD7E8F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15B7" w:rsidRPr="001D1758" w:rsidRDefault="00CB3B04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2C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  <w:r w:rsidR="001D0E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рассмотрен 139 запрос</w:t>
      </w:r>
      <w:r w:rsidR="002C4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МВД России по Санкт-Петербургу </w:t>
      </w:r>
      <w:r w:rsidR="003E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Ленинградской области о выдаче заключений о привлечении </w:t>
      </w:r>
      <w:proofErr w:type="gramStart"/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</w:t>
      </w:r>
      <w:r w:rsidR="003E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2938 иностранных специалистов.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 2017 год комитетом выдано 138 заключений 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целесообразности привлечения и использования 2936 иностранных работников, 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</w:t>
      </w:r>
      <w:r w:rsidR="003E52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2593 по квотируемым специальностям.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:rsidR="003815B7" w:rsidRPr="001D1758" w:rsidRDefault="001D1758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Кингисеппский – 1325 человек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(45,1%);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Всеволожский – 825 чел</w:t>
      </w:r>
      <w:r w:rsid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(28,1%);</w:t>
      </w:r>
    </w:p>
    <w:p w:rsidR="003815B7" w:rsidRPr="001D1758" w:rsidRDefault="001D1758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– 322 человек</w:t>
      </w:r>
      <w:r w:rsidR="003E52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(10,8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3815B7" w:rsidRPr="001D1758" w:rsidRDefault="002C4D8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Гатчинский – 170 человек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(5,8%);</w:t>
      </w:r>
    </w:p>
    <w:p w:rsidR="003815B7" w:rsidRPr="001D1758" w:rsidRDefault="003E52CB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Кировский – 125 человек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(4,3%);</w:t>
      </w:r>
    </w:p>
    <w:p w:rsidR="003815B7" w:rsidRPr="001D1758" w:rsidRDefault="003E52CB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Лужский – 96 человек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(3,3%);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Выборгски</w:t>
      </w:r>
      <w:r w:rsidR="003E52CB">
        <w:rPr>
          <w:rFonts w:ascii="Times New Roman" w:eastAsia="Times New Roman" w:hAnsi="Times New Roman" w:cs="Times New Roman"/>
          <w:sz w:val="24"/>
          <w:szCs w:val="24"/>
          <w:lang w:eastAsia="ru-RU"/>
        </w:rPr>
        <w:t>й – 42 человека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(1,4%);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Волховский – 11 чел</w:t>
      </w:r>
      <w:r w:rsidR="003E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(0,4%);</w:t>
      </w:r>
    </w:p>
    <w:p w:rsidR="003815B7" w:rsidRPr="001D1758" w:rsidRDefault="003E52CB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Ломоносовский – 10 человек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(0,3%);</w:t>
      </w:r>
    </w:p>
    <w:p w:rsidR="003815B7" w:rsidRPr="001D1758" w:rsidRDefault="003E52CB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Киришский – 5 человек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(0,2%);</w:t>
      </w:r>
    </w:p>
    <w:p w:rsidR="003815B7" w:rsidRPr="001D1758" w:rsidRDefault="003E52CB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– 4 человека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(0,2%).</w:t>
      </w:r>
    </w:p>
    <w:p w:rsidR="003815B7" w:rsidRPr="001D1758" w:rsidRDefault="003E52CB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Подпорожский – 1 человек</w:t>
      </w:r>
      <w:r w:rsidR="002C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(0,1%).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Визовые иностранные работники востребованы из 39 стран. Наибольшее количество иностранных работников работодатели планируют привлечь </w:t>
      </w:r>
      <w:proofErr w:type="gramStart"/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Сербии – 1277 человек (43,5%) для осуществления трудовой деятельности 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строительства;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– 431 человек (14,7%) для осуществления трудовой деятельности в сфере строительства, сельского хозяйства, обрабатывающего производства;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Вьетнам – 306 человек (10,4%) для осуществления трудовой деятельности 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обрабатывающего производства; 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Турции – 271 человек (9,2%) для трудоустройства в сфере строительства;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КНДР – 197 человек (6,7%) для трудоустройства в сфере строительства 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обрабатывающего производства.</w:t>
      </w:r>
    </w:p>
    <w:p w:rsidR="003815B7" w:rsidRPr="001D1758" w:rsidRDefault="00CB3B04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D87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согласовано привлечение иностранных работников из стран </w:t>
      </w:r>
      <w:r w:rsidR="002C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815B7"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визовым порядком въезда в РФ по следующим видам экономической деятельности: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1995 человек (67,9%);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500 человек (17%);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хозяйство, охота и лесное хозяйство – 197 человек (6,7%);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120 человек (4,1%);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39 человек (1,3%);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мотоциклов – 38 человек (1,2%);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17 человек (0,5%);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14 человек (0,5%)</w:t>
      </w:r>
      <w:r w:rsidR="005038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прочих видов услуг – 8 человек (0,3%)</w:t>
      </w:r>
      <w:r w:rsidR="005038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культуры, спорта, организации досуга и развлечений –                                  5 человек (0,2%);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</w:t>
      </w:r>
      <w:r w:rsidR="0050384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общественного питания – 1 человек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(0,1%)</w:t>
      </w:r>
      <w:r w:rsidR="005038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</w:t>
      </w:r>
      <w:r w:rsidR="0050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ром; кондиционирование – </w:t>
      </w:r>
      <w:r w:rsidR="00503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человек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(0,1%);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водоснабжение; </w:t>
      </w:r>
      <w:proofErr w:type="spellStart"/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водоотделение</w:t>
      </w:r>
      <w:proofErr w:type="spellEnd"/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сбора и утилизации отходов, деятельность по</w:t>
      </w:r>
      <w:r w:rsidR="0050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загрязнений – 1 человек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(0,1%).</w:t>
      </w:r>
    </w:p>
    <w:p w:rsidR="003815B7" w:rsidRPr="001D1758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вост</w:t>
      </w:r>
      <w:r w:rsidR="00503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ребованных специалистов 345 человек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(11,8%) привлекаются </w:t>
      </w:r>
      <w:r w:rsidR="0050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D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 квотируемым специальностям (должностям).</w:t>
      </w:r>
    </w:p>
    <w:p w:rsidR="003815B7" w:rsidRPr="003815B7" w:rsidRDefault="003815B7" w:rsidP="0038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94B41" w:rsidRPr="00262A4E" w:rsidRDefault="00994B41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B91B40" w:rsidRPr="00B91B40" w:rsidRDefault="00B91B40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2A2D69" w:rsidRDefault="00AF5C52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3F2A"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году в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продолжа</w:t>
      </w:r>
      <w:r w:rsidR="000D3F2A"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подпрограммы «Оказание содействия добровольному переселению в 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Цель подпрограммы </w:t>
      </w:r>
      <w:r w:rsidR="00B804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переселения на территорию Ленинградской области соотечественников, проживающих за рубежом.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реализуются мероприятия по следующим основным направлениям: 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</w:t>
      </w:r>
      <w:r w:rsidR="00B8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рубежом, в Ленинградскую область для постоянного проживания, быстрому их включению </w:t>
      </w:r>
      <w:r w:rsidR="00B8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трудовые и социальные связи региона;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адаптации и интеграции участников подпрограммы и членов </w:t>
      </w:r>
      <w:r w:rsidR="00B8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обустройстве;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трудоустройству соотечественников, переселяемых в Ленинградскую область;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талантливой молодежи для получения образования в образовательных организациях, расположенных на территории Ленинградской области.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на реализацию одного из основных мероприятий подпрограммы «Создание правовых, организационных, социально-экономических и информационных</w:t>
      </w:r>
      <w:r w:rsidR="00BD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условий, способствующих добровольному переселению соотечественников, проживающих за рубежом,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Ленинградскую область для постоянного проживания, быстрому их включению в трудовые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социальные связи региона» выделены субсидии в размере 3 606,8 тыс. руб., в том числе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1 118,1 тыс. руб. из федерального бюджета и 2 488,7</w:t>
      </w:r>
      <w:proofErr w:type="gramEnd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из областного бюджета.  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запланированных мероприятий: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информационный портал для потенциальных участников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прибывших соотечественников, который в настоящее время уже доступен для всех желающих по адресу: </w:t>
      </w:r>
      <w:bookmarkStart w:id="2" w:name="_Hlk503447213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"http://www.территориятруда.рф" </w:instrTex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A2D69">
        <w:rPr>
          <w:rStyle w:val="af5"/>
          <w:rFonts w:ascii="Times New Roman" w:eastAsia="Times New Roman" w:hAnsi="Times New Roman" w:cs="Times New Roman"/>
          <w:sz w:val="24"/>
          <w:szCs w:val="24"/>
          <w:lang w:eastAsia="ru-RU"/>
        </w:rPr>
        <w:t>www.территориятруда.рф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9" w:history="1">
        <w:r w:rsidRPr="002A2D69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www.tt47.ru</w:t>
        </w:r>
      </w:hyperlink>
      <w:bookmarkEnd w:id="2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ежедневно наполняется информацией;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издана</w:t>
      </w:r>
      <w:proofErr w:type="gramEnd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памятка для потенциальных участников, которая выдается потенциальным участникам подпрограммы на консультациях в уполномоченном органе;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памятка направлена в представительства МВД России за рубежом, а также доступна на информационном портале: </w:t>
      </w:r>
      <w:hyperlink r:id="rId20" w:history="1">
        <w:r w:rsidRPr="002A2D69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www.территориятруда.рф</w:t>
        </w:r>
      </w:hyperlink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1" w:history="1">
        <w:r w:rsidRPr="002A2D69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www.tt47.ru</w:t>
        </w:r>
      </w:hyperlink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реализована программа обучения для прибывших соотечественников «Основы правовых, организационных, социально-экономических знаний, способствующих быстрому включению соотечественников в трудовых и социальные отношения Ленинградской области», которая включает учебные модули:</w:t>
      </w:r>
      <w:proofErr w:type="gramEnd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«История, культура и традиции Российской Федерации и Ленинградской области», «Ленинградская область: современность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перспективы развития», «Основные вопросы законодательства Российской Федерации», «Трудоустройство в Ленинградской области», «Охрана труда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безопасность жизнедеятельности», «Социокультурная адаптация и интеграция». Дополнительно в рамках обучения соотечественники по необходимости </w:t>
      </w:r>
      <w:proofErr w:type="gramStart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юридическую помощь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психологическую поддержу</w:t>
      </w:r>
      <w:proofErr w:type="gramEnd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ECB" w:rsidRPr="002A2D69" w:rsidRDefault="00080363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="00435ECB"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Управления по вопросам миграции ГУ МВД России по Санкт-Петербургу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35ECB"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Ленинградской области комитетом, ответственным исполнителем подпрограммы, было получено на рассмотрение 1792 заявления соотечественников, изъявивших желание принять участие в подпрограмме.  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все заявления и информацию муниципальных районов (городского округа), комитет согласовал 1057 заявлений, отклонил 722 заявления. Остальные 13 заявлений</w:t>
      </w:r>
      <w:r w:rsidR="00BD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31.12.2017 направлены</w:t>
      </w:r>
      <w:r w:rsidR="00BD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муниципальных районов и городской округ для рассмотрения</w:t>
      </w:r>
    </w:p>
    <w:p w:rsidR="00435ECB" w:rsidRPr="002A2D69" w:rsidRDefault="00080363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5ECB"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435ECB"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по вопросам миграции ГУ МВД России по Санкт-Петербургу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35ECB"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поставлено на учет в качестве прибывших на территорию вселения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35ECB"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980 участников подпрограммы и 1362 члена их семьи.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реализации подпрограммы в Ленинградскую область вселились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4405 соотечественников.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эффективной реализации подпрограммы с начала 2017 года проведены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видеоконференции с участием представителей Управления по вопросам миграции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МВД России по Санкт-Петербургу и Ленинградской области, представительства МВД России за рубежом и службы занятости населения Ленинградской области: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31.01.2017 с Молдовой;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15.03.2017 с Латвией;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27.04.2017 и 25.08.2017 – с Казахстаном.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занятости населения Ленинградской области оказывается содействие участникам подпрограммы в трудоустройстве, а также предоставляются государственные услуги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информированию о ситуации на рынке труда, по организации профессиональной ориентации граждан в целях выбора сферы деятельности (профессии), прохождения профессионального обучения и получения дополнительного профессионального образования.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для содействия в трудоустройстве и эффективной интеграции в общество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соотечественников, прибывших в Ленинградскую область, прошли обучение по программе «Основы правовых, организационных, социально-экономических знаний, способствующих быстрому включению соотечественников в трудовых и социальные отношения Ленинградской области».</w:t>
      </w:r>
      <w:proofErr w:type="gramEnd"/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прибывших в Ленинградскую область в 2017 году соотечественников 431 человек осуществляет трудовую деятельность на предприятиях региона.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147 участников подпрограммы и 299 членов их семей </w:t>
      </w:r>
      <w:proofErr w:type="gramStart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медицинские организации государственной системы здравоохранения Ленинградской области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получили</w:t>
      </w:r>
      <w:proofErr w:type="gramEnd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гарантированное медицинское обслуживание.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содействия участникам подпрограммы в жилищном обустройстве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в Ленинградскую область участник Государственной программы и члены его семьи, при необходимости, обращаются в администрацию муниципального района (городского округа), где получают в период адаптации на новом месте жительства информацию о временном размещении в гостиницах, получении жилья на условиях коммерческого найма.</w:t>
      </w:r>
      <w:proofErr w:type="gramEnd"/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Ленинградской области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20.05.2015 № 168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комфортным жильем и коммунальными услугами граждан Российской Федерации»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области» право на приобретение жилья экономического класса имеют граждане, в том числе участники подпрограммы при условии, что они приобрели в установленном порядке</w:t>
      </w:r>
      <w:proofErr w:type="gramEnd"/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гражданство Российской Федерации.</w:t>
      </w:r>
    </w:p>
    <w:p w:rsidR="00435ECB" w:rsidRPr="002A2D69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реестре участников программы «Жилье для российской семьи»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государственной программы Российской Федерации «Обеспечение доступным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комфортным жильем и коммунальными услугами граждан Российской Федерации» </w:t>
      </w:r>
      <w:r w:rsidR="0008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области» отсутствуют участники подпрограммы.</w:t>
      </w:r>
    </w:p>
    <w:p w:rsidR="00435ECB" w:rsidRPr="009A32F4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ECB" w:rsidRPr="009A32F4" w:rsidSect="004A51EC">
          <w:headerReference w:type="even" r:id="rId22"/>
          <w:headerReference w:type="default" r:id="rId23"/>
          <w:headerReference w:type="first" r:id="rId24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42" w:type="dxa"/>
        <w:tblInd w:w="93" w:type="dxa"/>
        <w:tblLook w:val="04A0" w:firstRow="1" w:lastRow="0" w:firstColumn="1" w:lastColumn="0" w:noHBand="0" w:noVBand="1"/>
      </w:tblPr>
      <w:tblGrid>
        <w:gridCol w:w="700"/>
        <w:gridCol w:w="3001"/>
        <w:gridCol w:w="1701"/>
        <w:gridCol w:w="1843"/>
        <w:gridCol w:w="1559"/>
        <w:gridCol w:w="992"/>
        <w:gridCol w:w="64"/>
        <w:gridCol w:w="503"/>
        <w:gridCol w:w="773"/>
        <w:gridCol w:w="645"/>
        <w:gridCol w:w="607"/>
        <w:gridCol w:w="732"/>
        <w:gridCol w:w="222"/>
      </w:tblGrid>
      <w:tr w:rsidR="009028A5" w:rsidRPr="00C705F1" w:rsidTr="00391666">
        <w:trPr>
          <w:gridAfter w:val="1"/>
          <w:wAfter w:w="222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9028A5" w:rsidRPr="00C705F1" w:rsidTr="00391666">
        <w:trPr>
          <w:gridAfter w:val="1"/>
          <w:wAfter w:w="222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A5" w:rsidRPr="009028A5" w:rsidTr="00391666">
        <w:trPr>
          <w:gridAfter w:val="2"/>
          <w:wAfter w:w="954" w:type="dxa"/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9028A5" w:rsidRPr="009028A5" w:rsidTr="00391666">
        <w:trPr>
          <w:gridAfter w:val="2"/>
          <w:wAfter w:w="954" w:type="dxa"/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2016-2017 гг.</w:t>
            </w:r>
          </w:p>
        </w:tc>
      </w:tr>
      <w:tr w:rsidR="009028A5" w:rsidRPr="00C705F1" w:rsidTr="0039166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A5" w:rsidRPr="00C705F1" w:rsidTr="00391666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C705F1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01.01.18  к 01.01.17,               %</w:t>
            </w:r>
          </w:p>
        </w:tc>
        <w:tc>
          <w:tcPr>
            <w:tcW w:w="222" w:type="dxa"/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A5" w:rsidRPr="00C705F1" w:rsidTr="0039166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8A5" w:rsidRPr="00C705F1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 к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A5" w:rsidRPr="00C705F1" w:rsidTr="0039166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2016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A5" w:rsidRPr="00C705F1" w:rsidTr="0039166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A5" w:rsidRPr="00C705F1" w:rsidTr="00391666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8A5" w:rsidRPr="009028A5" w:rsidRDefault="009028A5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9028A5" w:rsidRPr="009028A5" w:rsidRDefault="009028A5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6C" w:rsidRPr="00C705F1" w:rsidTr="00391666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28477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6C" w:rsidRPr="009028A5" w:rsidRDefault="0093036C" w:rsidP="0090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4739</w:t>
            </w: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36C" w:rsidRPr="0093036C" w:rsidRDefault="0093036C" w:rsidP="0093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222" w:type="dxa"/>
            <w:vAlign w:val="center"/>
            <w:hideMark/>
          </w:tcPr>
          <w:p w:rsidR="0093036C" w:rsidRPr="009028A5" w:rsidRDefault="0093036C" w:rsidP="009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A8" w:rsidRDefault="003A0DA8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00"/>
        <w:gridCol w:w="2576"/>
        <w:gridCol w:w="1984"/>
        <w:gridCol w:w="1559"/>
        <w:gridCol w:w="1622"/>
        <w:gridCol w:w="1639"/>
        <w:gridCol w:w="283"/>
        <w:gridCol w:w="1843"/>
        <w:gridCol w:w="1843"/>
      </w:tblGrid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8" w:rsidRPr="009D4B68" w:rsidTr="009D4B68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8" w:rsidRPr="009D4B68" w:rsidTr="009D4B6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01.01.18  к</w:t>
            </w:r>
          </w:p>
        </w:tc>
      </w:tr>
      <w:tr w:rsidR="009D4B68" w:rsidRPr="009D4B68" w:rsidTr="009D4B6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к 2016, %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01.01.17,</w:t>
            </w:r>
          </w:p>
        </w:tc>
      </w:tr>
      <w:tr w:rsidR="009D4B68" w:rsidRPr="009D4B68" w:rsidTr="009D4B6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2016 году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2017 году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D4B68" w:rsidRPr="009D4B68" w:rsidTr="009D4B6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4B68" w:rsidRPr="009D4B68" w:rsidTr="009D4B6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9D4B68" w:rsidRPr="009D4B68" w:rsidTr="009D4B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9D4B68" w:rsidRPr="009D4B68" w:rsidTr="009D4B6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9D4B68" w:rsidRPr="009D4B68" w:rsidTr="009D4B6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9672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B68" w:rsidRPr="009D4B68" w:rsidRDefault="009D4B68" w:rsidP="009D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</w:tr>
    </w:tbl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4D7B92" w:rsidRPr="00500642" w:rsidRDefault="004D7B92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28663E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47C76" w:rsidRPr="00500642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W w:w="13794" w:type="dxa"/>
        <w:tblInd w:w="93" w:type="dxa"/>
        <w:tblLook w:val="04A0" w:firstRow="1" w:lastRow="0" w:firstColumn="1" w:lastColumn="0" w:noHBand="0" w:noVBand="1"/>
      </w:tblPr>
      <w:tblGrid>
        <w:gridCol w:w="600"/>
        <w:gridCol w:w="2959"/>
        <w:gridCol w:w="1701"/>
        <w:gridCol w:w="1834"/>
        <w:gridCol w:w="2240"/>
        <w:gridCol w:w="2380"/>
        <w:gridCol w:w="2080"/>
      </w:tblGrid>
      <w:tr w:rsidR="00E161E8" w:rsidRPr="00E161E8" w:rsidTr="00EC546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E161E8" w:rsidRPr="00E161E8" w:rsidTr="00EC546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E8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E8" w:rsidRPr="00E161E8" w:rsidTr="00EC5467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161E8" w:rsidRPr="00E161E8" w:rsidTr="00EC546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5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год к </w:t>
            </w: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2016 года, %</w:t>
            </w: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E161E8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61E8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2016 году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2017 году</w:t>
            </w: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61E8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1E8" w:rsidRPr="00E161E8" w:rsidRDefault="00E161E8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2016 год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E161E8" w:rsidRPr="00E161E8" w:rsidTr="00EC5467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1E8" w:rsidRPr="00E161E8" w:rsidRDefault="00E161E8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EC5467" w:rsidRPr="00E161E8" w:rsidTr="00EC5467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161E8" w:rsidRDefault="00EC5467" w:rsidP="00E1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467" w:rsidRPr="00EC5467" w:rsidRDefault="00EC5467" w:rsidP="00EC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71,8</w:t>
            </w:r>
          </w:p>
        </w:tc>
      </w:tr>
    </w:tbl>
    <w:p w:rsidR="0028663E" w:rsidRPr="00500642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B4A3D" w:rsidRP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190C" w:rsidRDefault="00DC190C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700"/>
        <w:gridCol w:w="2859"/>
        <w:gridCol w:w="1559"/>
        <w:gridCol w:w="1276"/>
        <w:gridCol w:w="284"/>
        <w:gridCol w:w="1417"/>
        <w:gridCol w:w="1056"/>
        <w:gridCol w:w="362"/>
        <w:gridCol w:w="914"/>
        <w:gridCol w:w="645"/>
        <w:gridCol w:w="2126"/>
      </w:tblGrid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396AC2" w:rsidRPr="00396AC2" w:rsidTr="00396AC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AC2" w:rsidRPr="00396AC2" w:rsidTr="00396AC2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AC2" w:rsidRPr="00396AC2" w:rsidTr="00396AC2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свободных рабочих мест, ед.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396AC2" w:rsidRPr="00396AC2" w:rsidTr="00396AC2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01.01.18 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01.01.17,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6AC2" w:rsidRPr="00396AC2" w:rsidTr="00396AC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01.01.18-01.01.17</w:t>
            </w:r>
          </w:p>
        </w:tc>
      </w:tr>
      <w:tr w:rsidR="00396AC2" w:rsidRPr="00396AC2" w:rsidTr="00396AC2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-0,26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-0,17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-0,23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-0,18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396AC2" w:rsidRPr="00396AC2" w:rsidTr="00396AC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396AC2" w:rsidRPr="00396AC2" w:rsidTr="00396AC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396AC2" w:rsidRPr="00396AC2" w:rsidTr="00396AC2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15114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-0,06</w:t>
            </w:r>
          </w:p>
        </w:tc>
      </w:tr>
    </w:tbl>
    <w:p w:rsidR="00E36F67" w:rsidRDefault="00E36F67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214CA5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DC190C" w:rsidP="00214C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25948" cy="6101135"/>
            <wp:effectExtent l="0" t="0" r="0" b="0"/>
            <wp:docPr id="8" name="Рисунок 8" descr="C:\Users\lyd_anl\Desktop\скрин\Скриншот 29-01-2018 115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29-01-2018 1159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080" cy="610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F5FF5" w:rsidRDefault="004F5FF5" w:rsidP="00F07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77F03" w:rsidRPr="00F35072" w:rsidRDefault="00F77F03" w:rsidP="00EA0A3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096" w:rsidRPr="00F35072" w:rsidRDefault="00A844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color w:val="002060"/>
          <w:sz w:val="20"/>
          <w:szCs w:val="20"/>
          <w:lang w:eastAsia="ru-RU"/>
        </w:rPr>
        <w:drawing>
          <wp:inline distT="0" distB="0" distL="0" distR="0" wp14:anchorId="42447366" wp14:editId="570BF954">
            <wp:extent cx="8212111" cy="5446643"/>
            <wp:effectExtent l="0" t="0" r="0" b="1905"/>
            <wp:docPr id="16" name="Рисунок 16" descr="C:\Users\lyd_anl\Desktop\скрин\Скриншот 04-01-2018 121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4-01-2018 12105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111" cy="54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89" w:rsidRDefault="008C6F89">
      <w:pPr>
        <w:spacing w:after="0" w:line="240" w:lineRule="auto"/>
      </w:pPr>
      <w:r>
        <w:separator/>
      </w:r>
    </w:p>
  </w:endnote>
  <w:endnote w:type="continuationSeparator" w:id="0">
    <w:p w:rsidR="008C6F89" w:rsidRDefault="008C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89" w:rsidRDefault="008C6F89">
      <w:pPr>
        <w:spacing w:after="0" w:line="240" w:lineRule="auto"/>
      </w:pPr>
      <w:r>
        <w:separator/>
      </w:r>
    </w:p>
  </w:footnote>
  <w:footnote w:type="continuationSeparator" w:id="0">
    <w:p w:rsidR="008C6F89" w:rsidRDefault="008C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89" w:rsidRDefault="008C6F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6F89" w:rsidRDefault="008C6F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89" w:rsidRDefault="008C6F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14482">
      <w:rPr>
        <w:noProof/>
      </w:rPr>
      <w:t>14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89" w:rsidRDefault="008C6F89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7088"/>
    <w:rsid w:val="0001053C"/>
    <w:rsid w:val="000121B2"/>
    <w:rsid w:val="00012231"/>
    <w:rsid w:val="0002033F"/>
    <w:rsid w:val="0002272C"/>
    <w:rsid w:val="00022C84"/>
    <w:rsid w:val="00024F53"/>
    <w:rsid w:val="00025178"/>
    <w:rsid w:val="0002573C"/>
    <w:rsid w:val="00025B9A"/>
    <w:rsid w:val="00027041"/>
    <w:rsid w:val="00030CB9"/>
    <w:rsid w:val="00031B68"/>
    <w:rsid w:val="00032FDE"/>
    <w:rsid w:val="000342D5"/>
    <w:rsid w:val="000343BC"/>
    <w:rsid w:val="00035AFA"/>
    <w:rsid w:val="00036C27"/>
    <w:rsid w:val="00037A73"/>
    <w:rsid w:val="00037ECD"/>
    <w:rsid w:val="000403E8"/>
    <w:rsid w:val="0004047C"/>
    <w:rsid w:val="000430E8"/>
    <w:rsid w:val="00043F26"/>
    <w:rsid w:val="0004430A"/>
    <w:rsid w:val="00045C75"/>
    <w:rsid w:val="00051C36"/>
    <w:rsid w:val="00051E8C"/>
    <w:rsid w:val="00052134"/>
    <w:rsid w:val="00054795"/>
    <w:rsid w:val="000561BA"/>
    <w:rsid w:val="00063496"/>
    <w:rsid w:val="00063A23"/>
    <w:rsid w:val="00064039"/>
    <w:rsid w:val="00065BB6"/>
    <w:rsid w:val="00065BFF"/>
    <w:rsid w:val="00066BFE"/>
    <w:rsid w:val="00073140"/>
    <w:rsid w:val="000742F4"/>
    <w:rsid w:val="0007451C"/>
    <w:rsid w:val="00074702"/>
    <w:rsid w:val="00076535"/>
    <w:rsid w:val="00076E68"/>
    <w:rsid w:val="00080363"/>
    <w:rsid w:val="0008116A"/>
    <w:rsid w:val="0008192F"/>
    <w:rsid w:val="00084096"/>
    <w:rsid w:val="00090955"/>
    <w:rsid w:val="00090B48"/>
    <w:rsid w:val="00094222"/>
    <w:rsid w:val="000A0534"/>
    <w:rsid w:val="000A283D"/>
    <w:rsid w:val="000A6A58"/>
    <w:rsid w:val="000C2F23"/>
    <w:rsid w:val="000C4B0E"/>
    <w:rsid w:val="000D2F0E"/>
    <w:rsid w:val="000D3F2A"/>
    <w:rsid w:val="000D44A2"/>
    <w:rsid w:val="000E00F7"/>
    <w:rsid w:val="000E0438"/>
    <w:rsid w:val="000E1C8E"/>
    <w:rsid w:val="000E30D7"/>
    <w:rsid w:val="000E5E5F"/>
    <w:rsid w:val="000E6F2D"/>
    <w:rsid w:val="000F331B"/>
    <w:rsid w:val="000F3584"/>
    <w:rsid w:val="000F4525"/>
    <w:rsid w:val="000F7464"/>
    <w:rsid w:val="001000FA"/>
    <w:rsid w:val="00102C03"/>
    <w:rsid w:val="001035B4"/>
    <w:rsid w:val="00113612"/>
    <w:rsid w:val="00113BD2"/>
    <w:rsid w:val="001146CD"/>
    <w:rsid w:val="00114942"/>
    <w:rsid w:val="001159AC"/>
    <w:rsid w:val="00115F46"/>
    <w:rsid w:val="00120B6A"/>
    <w:rsid w:val="0012152A"/>
    <w:rsid w:val="00122715"/>
    <w:rsid w:val="00124E73"/>
    <w:rsid w:val="001270C8"/>
    <w:rsid w:val="00127391"/>
    <w:rsid w:val="00133BE1"/>
    <w:rsid w:val="0013495B"/>
    <w:rsid w:val="00141B07"/>
    <w:rsid w:val="00143B20"/>
    <w:rsid w:val="001472D4"/>
    <w:rsid w:val="00150399"/>
    <w:rsid w:val="001524DA"/>
    <w:rsid w:val="00152B4B"/>
    <w:rsid w:val="00153F5A"/>
    <w:rsid w:val="0016011F"/>
    <w:rsid w:val="0016034F"/>
    <w:rsid w:val="001613B3"/>
    <w:rsid w:val="00165401"/>
    <w:rsid w:val="00171AEB"/>
    <w:rsid w:val="001753AF"/>
    <w:rsid w:val="0017560F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3DA9"/>
    <w:rsid w:val="001B1D88"/>
    <w:rsid w:val="001B4482"/>
    <w:rsid w:val="001B4AEE"/>
    <w:rsid w:val="001C0CA9"/>
    <w:rsid w:val="001C2908"/>
    <w:rsid w:val="001C370A"/>
    <w:rsid w:val="001C586D"/>
    <w:rsid w:val="001C6D91"/>
    <w:rsid w:val="001C7845"/>
    <w:rsid w:val="001D00FD"/>
    <w:rsid w:val="001D0E9A"/>
    <w:rsid w:val="001D1758"/>
    <w:rsid w:val="001D5771"/>
    <w:rsid w:val="001D7FD3"/>
    <w:rsid w:val="001E4FBA"/>
    <w:rsid w:val="001E5294"/>
    <w:rsid w:val="001E73C1"/>
    <w:rsid w:val="001F1D47"/>
    <w:rsid w:val="001F333A"/>
    <w:rsid w:val="001F3833"/>
    <w:rsid w:val="001F48F6"/>
    <w:rsid w:val="001F5D4E"/>
    <w:rsid w:val="001F6C76"/>
    <w:rsid w:val="001F7095"/>
    <w:rsid w:val="002038F3"/>
    <w:rsid w:val="002078BA"/>
    <w:rsid w:val="0021034C"/>
    <w:rsid w:val="002111F1"/>
    <w:rsid w:val="0021164A"/>
    <w:rsid w:val="00213882"/>
    <w:rsid w:val="00213F7C"/>
    <w:rsid w:val="00214482"/>
    <w:rsid w:val="00214C45"/>
    <w:rsid w:val="00214CA5"/>
    <w:rsid w:val="00224FCD"/>
    <w:rsid w:val="00225A12"/>
    <w:rsid w:val="002317EF"/>
    <w:rsid w:val="002319D2"/>
    <w:rsid w:val="0023303D"/>
    <w:rsid w:val="00235633"/>
    <w:rsid w:val="00243AC7"/>
    <w:rsid w:val="002441CA"/>
    <w:rsid w:val="00245DE5"/>
    <w:rsid w:val="00246673"/>
    <w:rsid w:val="002518EF"/>
    <w:rsid w:val="0025650C"/>
    <w:rsid w:val="00256B3F"/>
    <w:rsid w:val="0025752C"/>
    <w:rsid w:val="00257B33"/>
    <w:rsid w:val="002605FB"/>
    <w:rsid w:val="002617FF"/>
    <w:rsid w:val="002629A3"/>
    <w:rsid w:val="00262A4E"/>
    <w:rsid w:val="002662A6"/>
    <w:rsid w:val="002668DC"/>
    <w:rsid w:val="002705FC"/>
    <w:rsid w:val="00272DD6"/>
    <w:rsid w:val="002742A4"/>
    <w:rsid w:val="00274854"/>
    <w:rsid w:val="00282B7D"/>
    <w:rsid w:val="0028663E"/>
    <w:rsid w:val="002976AA"/>
    <w:rsid w:val="00297A97"/>
    <w:rsid w:val="002A2D69"/>
    <w:rsid w:val="002A31C3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C071A"/>
    <w:rsid w:val="002C0EAD"/>
    <w:rsid w:val="002C3608"/>
    <w:rsid w:val="002C4D87"/>
    <w:rsid w:val="002C716B"/>
    <w:rsid w:val="002D2086"/>
    <w:rsid w:val="002D3A37"/>
    <w:rsid w:val="002D4F06"/>
    <w:rsid w:val="002D684D"/>
    <w:rsid w:val="002D7A0D"/>
    <w:rsid w:val="002E2231"/>
    <w:rsid w:val="002E5A08"/>
    <w:rsid w:val="002F01B7"/>
    <w:rsid w:val="002F3C1E"/>
    <w:rsid w:val="002F74CC"/>
    <w:rsid w:val="00302C53"/>
    <w:rsid w:val="003100D1"/>
    <w:rsid w:val="00310D85"/>
    <w:rsid w:val="00312505"/>
    <w:rsid w:val="00312F5D"/>
    <w:rsid w:val="00312FF1"/>
    <w:rsid w:val="00313BE0"/>
    <w:rsid w:val="0032082B"/>
    <w:rsid w:val="00331E39"/>
    <w:rsid w:val="00331FED"/>
    <w:rsid w:val="00332E1B"/>
    <w:rsid w:val="00334441"/>
    <w:rsid w:val="003353F6"/>
    <w:rsid w:val="00336299"/>
    <w:rsid w:val="003459C1"/>
    <w:rsid w:val="0035238B"/>
    <w:rsid w:val="00355C2F"/>
    <w:rsid w:val="00357016"/>
    <w:rsid w:val="003575EB"/>
    <w:rsid w:val="00365E65"/>
    <w:rsid w:val="0036784D"/>
    <w:rsid w:val="00367C4D"/>
    <w:rsid w:val="00371636"/>
    <w:rsid w:val="003723A4"/>
    <w:rsid w:val="00372520"/>
    <w:rsid w:val="0037296A"/>
    <w:rsid w:val="00375EF8"/>
    <w:rsid w:val="00377A7F"/>
    <w:rsid w:val="003815B7"/>
    <w:rsid w:val="003841F3"/>
    <w:rsid w:val="003905BF"/>
    <w:rsid w:val="003909A8"/>
    <w:rsid w:val="00391666"/>
    <w:rsid w:val="0039191F"/>
    <w:rsid w:val="00395703"/>
    <w:rsid w:val="00396494"/>
    <w:rsid w:val="00396AC2"/>
    <w:rsid w:val="003A0DA8"/>
    <w:rsid w:val="003A1FE1"/>
    <w:rsid w:val="003A4FF9"/>
    <w:rsid w:val="003A6C32"/>
    <w:rsid w:val="003B47C5"/>
    <w:rsid w:val="003B605D"/>
    <w:rsid w:val="003C17A5"/>
    <w:rsid w:val="003C248D"/>
    <w:rsid w:val="003C4B52"/>
    <w:rsid w:val="003C4C8A"/>
    <w:rsid w:val="003D3522"/>
    <w:rsid w:val="003D49E1"/>
    <w:rsid w:val="003D70EF"/>
    <w:rsid w:val="003E52CB"/>
    <w:rsid w:val="003E6C8B"/>
    <w:rsid w:val="003F0BB0"/>
    <w:rsid w:val="003F123C"/>
    <w:rsid w:val="003F27A1"/>
    <w:rsid w:val="003F30D2"/>
    <w:rsid w:val="003F45FE"/>
    <w:rsid w:val="003F57BB"/>
    <w:rsid w:val="003F5A6D"/>
    <w:rsid w:val="003F6A6A"/>
    <w:rsid w:val="004001DF"/>
    <w:rsid w:val="004063CD"/>
    <w:rsid w:val="00410492"/>
    <w:rsid w:val="00411096"/>
    <w:rsid w:val="004135D0"/>
    <w:rsid w:val="00423310"/>
    <w:rsid w:val="00423DBF"/>
    <w:rsid w:val="00424CF5"/>
    <w:rsid w:val="0042544E"/>
    <w:rsid w:val="0042789C"/>
    <w:rsid w:val="00435ECB"/>
    <w:rsid w:val="0044037B"/>
    <w:rsid w:val="004414D0"/>
    <w:rsid w:val="004443C4"/>
    <w:rsid w:val="00445A32"/>
    <w:rsid w:val="004479DF"/>
    <w:rsid w:val="0045089C"/>
    <w:rsid w:val="0045142E"/>
    <w:rsid w:val="00456A18"/>
    <w:rsid w:val="004607D3"/>
    <w:rsid w:val="00461CDC"/>
    <w:rsid w:val="00462892"/>
    <w:rsid w:val="00471572"/>
    <w:rsid w:val="00472FBC"/>
    <w:rsid w:val="004736E8"/>
    <w:rsid w:val="00474C10"/>
    <w:rsid w:val="00477BE5"/>
    <w:rsid w:val="00480411"/>
    <w:rsid w:val="00485E02"/>
    <w:rsid w:val="0048665F"/>
    <w:rsid w:val="00487366"/>
    <w:rsid w:val="004878A0"/>
    <w:rsid w:val="0049044E"/>
    <w:rsid w:val="004913B2"/>
    <w:rsid w:val="00492B2E"/>
    <w:rsid w:val="004936E3"/>
    <w:rsid w:val="00493F92"/>
    <w:rsid w:val="00494C4E"/>
    <w:rsid w:val="004A0BE6"/>
    <w:rsid w:val="004A470C"/>
    <w:rsid w:val="004A51EC"/>
    <w:rsid w:val="004A6F59"/>
    <w:rsid w:val="004B5C15"/>
    <w:rsid w:val="004B6A52"/>
    <w:rsid w:val="004B7C35"/>
    <w:rsid w:val="004C20FB"/>
    <w:rsid w:val="004C42DF"/>
    <w:rsid w:val="004C51A2"/>
    <w:rsid w:val="004C6053"/>
    <w:rsid w:val="004D0233"/>
    <w:rsid w:val="004D5660"/>
    <w:rsid w:val="004D5907"/>
    <w:rsid w:val="004D5B82"/>
    <w:rsid w:val="004D65D0"/>
    <w:rsid w:val="004D725F"/>
    <w:rsid w:val="004D7B92"/>
    <w:rsid w:val="004E0E4D"/>
    <w:rsid w:val="004E4CB8"/>
    <w:rsid w:val="004F37E8"/>
    <w:rsid w:val="004F585A"/>
    <w:rsid w:val="004F5FF5"/>
    <w:rsid w:val="00500642"/>
    <w:rsid w:val="00500CA9"/>
    <w:rsid w:val="005025BB"/>
    <w:rsid w:val="0050276E"/>
    <w:rsid w:val="0050384E"/>
    <w:rsid w:val="005047F4"/>
    <w:rsid w:val="00505CB1"/>
    <w:rsid w:val="00506786"/>
    <w:rsid w:val="005077E0"/>
    <w:rsid w:val="005111CC"/>
    <w:rsid w:val="00512056"/>
    <w:rsid w:val="00514C2F"/>
    <w:rsid w:val="00520F2F"/>
    <w:rsid w:val="00521F21"/>
    <w:rsid w:val="005236B6"/>
    <w:rsid w:val="005318E4"/>
    <w:rsid w:val="00532A6D"/>
    <w:rsid w:val="00534847"/>
    <w:rsid w:val="00536B3F"/>
    <w:rsid w:val="005371D9"/>
    <w:rsid w:val="00543C11"/>
    <w:rsid w:val="00545D51"/>
    <w:rsid w:val="00546C0C"/>
    <w:rsid w:val="00547584"/>
    <w:rsid w:val="0055041E"/>
    <w:rsid w:val="00551E00"/>
    <w:rsid w:val="00552EB2"/>
    <w:rsid w:val="00553F5C"/>
    <w:rsid w:val="00556920"/>
    <w:rsid w:val="00561B99"/>
    <w:rsid w:val="0056272E"/>
    <w:rsid w:val="00564D1E"/>
    <w:rsid w:val="005654B7"/>
    <w:rsid w:val="005656F7"/>
    <w:rsid w:val="00570D92"/>
    <w:rsid w:val="00572223"/>
    <w:rsid w:val="00572EB4"/>
    <w:rsid w:val="005745E9"/>
    <w:rsid w:val="00575E0E"/>
    <w:rsid w:val="00577502"/>
    <w:rsid w:val="0057787C"/>
    <w:rsid w:val="005802DE"/>
    <w:rsid w:val="00582E0C"/>
    <w:rsid w:val="00583394"/>
    <w:rsid w:val="00585257"/>
    <w:rsid w:val="00586A30"/>
    <w:rsid w:val="0058736C"/>
    <w:rsid w:val="005903F3"/>
    <w:rsid w:val="005961CD"/>
    <w:rsid w:val="00597E26"/>
    <w:rsid w:val="005A17B2"/>
    <w:rsid w:val="005A5E3F"/>
    <w:rsid w:val="005A6220"/>
    <w:rsid w:val="005B062F"/>
    <w:rsid w:val="005B390E"/>
    <w:rsid w:val="005B4C0B"/>
    <w:rsid w:val="005B4D21"/>
    <w:rsid w:val="005B5FA3"/>
    <w:rsid w:val="005C06B9"/>
    <w:rsid w:val="005C352F"/>
    <w:rsid w:val="005D2463"/>
    <w:rsid w:val="005D5DCA"/>
    <w:rsid w:val="005D602A"/>
    <w:rsid w:val="005D6BBB"/>
    <w:rsid w:val="005E1C36"/>
    <w:rsid w:val="005E2BBC"/>
    <w:rsid w:val="005E57C5"/>
    <w:rsid w:val="005E6531"/>
    <w:rsid w:val="005F023C"/>
    <w:rsid w:val="005F27C7"/>
    <w:rsid w:val="005F482E"/>
    <w:rsid w:val="0060091F"/>
    <w:rsid w:val="00602779"/>
    <w:rsid w:val="00604E70"/>
    <w:rsid w:val="00605080"/>
    <w:rsid w:val="00607159"/>
    <w:rsid w:val="00611EC3"/>
    <w:rsid w:val="00613098"/>
    <w:rsid w:val="00613FDA"/>
    <w:rsid w:val="00615441"/>
    <w:rsid w:val="00621B37"/>
    <w:rsid w:val="00623369"/>
    <w:rsid w:val="00626DF3"/>
    <w:rsid w:val="0063157A"/>
    <w:rsid w:val="006327BC"/>
    <w:rsid w:val="006347AD"/>
    <w:rsid w:val="00641FEE"/>
    <w:rsid w:val="00642BE1"/>
    <w:rsid w:val="006434E0"/>
    <w:rsid w:val="006442B8"/>
    <w:rsid w:val="00645E49"/>
    <w:rsid w:val="00651938"/>
    <w:rsid w:val="00653B91"/>
    <w:rsid w:val="00656B30"/>
    <w:rsid w:val="00657320"/>
    <w:rsid w:val="00660560"/>
    <w:rsid w:val="0066151F"/>
    <w:rsid w:val="00665568"/>
    <w:rsid w:val="006668D9"/>
    <w:rsid w:val="0067143B"/>
    <w:rsid w:val="006818A5"/>
    <w:rsid w:val="00682EF5"/>
    <w:rsid w:val="006862B6"/>
    <w:rsid w:val="00686FF3"/>
    <w:rsid w:val="00694123"/>
    <w:rsid w:val="00695E6B"/>
    <w:rsid w:val="006A0D4B"/>
    <w:rsid w:val="006A2761"/>
    <w:rsid w:val="006A795A"/>
    <w:rsid w:val="006B2F25"/>
    <w:rsid w:val="006C15E3"/>
    <w:rsid w:val="006C2570"/>
    <w:rsid w:val="006C72C6"/>
    <w:rsid w:val="006D0C2D"/>
    <w:rsid w:val="006D2BAF"/>
    <w:rsid w:val="006D36E0"/>
    <w:rsid w:val="006D4318"/>
    <w:rsid w:val="006D7066"/>
    <w:rsid w:val="006E3551"/>
    <w:rsid w:val="006E63AC"/>
    <w:rsid w:val="006F0A40"/>
    <w:rsid w:val="006F125B"/>
    <w:rsid w:val="006F5DF9"/>
    <w:rsid w:val="00702048"/>
    <w:rsid w:val="00703FC5"/>
    <w:rsid w:val="00706510"/>
    <w:rsid w:val="0070659A"/>
    <w:rsid w:val="00710080"/>
    <w:rsid w:val="007102B2"/>
    <w:rsid w:val="00712E30"/>
    <w:rsid w:val="00714DC9"/>
    <w:rsid w:val="00720FBD"/>
    <w:rsid w:val="00723194"/>
    <w:rsid w:val="00724BB0"/>
    <w:rsid w:val="00725612"/>
    <w:rsid w:val="00725FC6"/>
    <w:rsid w:val="007275A1"/>
    <w:rsid w:val="007313AA"/>
    <w:rsid w:val="0073280D"/>
    <w:rsid w:val="00732EB2"/>
    <w:rsid w:val="00733A52"/>
    <w:rsid w:val="00733F09"/>
    <w:rsid w:val="00735B52"/>
    <w:rsid w:val="0073651C"/>
    <w:rsid w:val="007375F7"/>
    <w:rsid w:val="007418AA"/>
    <w:rsid w:val="0075091F"/>
    <w:rsid w:val="00760D49"/>
    <w:rsid w:val="007628B0"/>
    <w:rsid w:val="00764606"/>
    <w:rsid w:val="00771181"/>
    <w:rsid w:val="007715E5"/>
    <w:rsid w:val="007720B7"/>
    <w:rsid w:val="0077236C"/>
    <w:rsid w:val="00772B6C"/>
    <w:rsid w:val="0077446F"/>
    <w:rsid w:val="00774663"/>
    <w:rsid w:val="00781F4A"/>
    <w:rsid w:val="0078327A"/>
    <w:rsid w:val="0078371E"/>
    <w:rsid w:val="00787D0C"/>
    <w:rsid w:val="0079038E"/>
    <w:rsid w:val="00791626"/>
    <w:rsid w:val="0079264B"/>
    <w:rsid w:val="007A660E"/>
    <w:rsid w:val="007A6AB8"/>
    <w:rsid w:val="007A769C"/>
    <w:rsid w:val="007A77F8"/>
    <w:rsid w:val="007B1845"/>
    <w:rsid w:val="007B21C4"/>
    <w:rsid w:val="007B3A71"/>
    <w:rsid w:val="007B535F"/>
    <w:rsid w:val="007C2530"/>
    <w:rsid w:val="007C5643"/>
    <w:rsid w:val="007C60F8"/>
    <w:rsid w:val="007C7B77"/>
    <w:rsid w:val="007D1961"/>
    <w:rsid w:val="007D1D14"/>
    <w:rsid w:val="007D2AC8"/>
    <w:rsid w:val="007D6A4F"/>
    <w:rsid w:val="007D73AE"/>
    <w:rsid w:val="007D78A7"/>
    <w:rsid w:val="007E1D70"/>
    <w:rsid w:val="007E231E"/>
    <w:rsid w:val="007E32C4"/>
    <w:rsid w:val="007E4F55"/>
    <w:rsid w:val="007E6E96"/>
    <w:rsid w:val="007E706A"/>
    <w:rsid w:val="007F421A"/>
    <w:rsid w:val="007F4EB6"/>
    <w:rsid w:val="007F4F59"/>
    <w:rsid w:val="007F6B41"/>
    <w:rsid w:val="007F7F44"/>
    <w:rsid w:val="00801F84"/>
    <w:rsid w:val="008041E7"/>
    <w:rsid w:val="008078E8"/>
    <w:rsid w:val="00811AE2"/>
    <w:rsid w:val="008177B5"/>
    <w:rsid w:val="00822EAC"/>
    <w:rsid w:val="008254FC"/>
    <w:rsid w:val="00825F32"/>
    <w:rsid w:val="00835164"/>
    <w:rsid w:val="008400C3"/>
    <w:rsid w:val="008407AE"/>
    <w:rsid w:val="008435FD"/>
    <w:rsid w:val="00844224"/>
    <w:rsid w:val="00851227"/>
    <w:rsid w:val="00855CE1"/>
    <w:rsid w:val="008704A2"/>
    <w:rsid w:val="00870888"/>
    <w:rsid w:val="00874A0E"/>
    <w:rsid w:val="00874A99"/>
    <w:rsid w:val="008756CC"/>
    <w:rsid w:val="00876163"/>
    <w:rsid w:val="0088040B"/>
    <w:rsid w:val="008827EF"/>
    <w:rsid w:val="00883543"/>
    <w:rsid w:val="00883F1E"/>
    <w:rsid w:val="0088429A"/>
    <w:rsid w:val="00884DA7"/>
    <w:rsid w:val="0089233B"/>
    <w:rsid w:val="00893D24"/>
    <w:rsid w:val="0089400E"/>
    <w:rsid w:val="008A10E2"/>
    <w:rsid w:val="008A1947"/>
    <w:rsid w:val="008A2786"/>
    <w:rsid w:val="008A44FD"/>
    <w:rsid w:val="008A79D5"/>
    <w:rsid w:val="008B1C64"/>
    <w:rsid w:val="008B3711"/>
    <w:rsid w:val="008B5CE3"/>
    <w:rsid w:val="008B7F4A"/>
    <w:rsid w:val="008C09A7"/>
    <w:rsid w:val="008C2EC4"/>
    <w:rsid w:val="008C5111"/>
    <w:rsid w:val="008C5E8B"/>
    <w:rsid w:val="008C6C36"/>
    <w:rsid w:val="008C6F89"/>
    <w:rsid w:val="008D7621"/>
    <w:rsid w:val="008E4B7E"/>
    <w:rsid w:val="008E69C7"/>
    <w:rsid w:val="008F1C3F"/>
    <w:rsid w:val="008F314B"/>
    <w:rsid w:val="008F31CC"/>
    <w:rsid w:val="00901C62"/>
    <w:rsid w:val="009028A5"/>
    <w:rsid w:val="00904158"/>
    <w:rsid w:val="009046C9"/>
    <w:rsid w:val="00904F1C"/>
    <w:rsid w:val="00906D3D"/>
    <w:rsid w:val="00910704"/>
    <w:rsid w:val="00911713"/>
    <w:rsid w:val="00911C54"/>
    <w:rsid w:val="00917BB6"/>
    <w:rsid w:val="00923476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4B3"/>
    <w:rsid w:val="009360C5"/>
    <w:rsid w:val="00936F05"/>
    <w:rsid w:val="00936FF1"/>
    <w:rsid w:val="0094359B"/>
    <w:rsid w:val="00946F3D"/>
    <w:rsid w:val="009519FF"/>
    <w:rsid w:val="0095275E"/>
    <w:rsid w:val="00956D5B"/>
    <w:rsid w:val="009571DA"/>
    <w:rsid w:val="00957E56"/>
    <w:rsid w:val="00963C7E"/>
    <w:rsid w:val="00965D97"/>
    <w:rsid w:val="00966A93"/>
    <w:rsid w:val="009711B2"/>
    <w:rsid w:val="00971E6D"/>
    <w:rsid w:val="00972835"/>
    <w:rsid w:val="00977B12"/>
    <w:rsid w:val="00981717"/>
    <w:rsid w:val="00982453"/>
    <w:rsid w:val="00982B2D"/>
    <w:rsid w:val="00985E40"/>
    <w:rsid w:val="00985EA6"/>
    <w:rsid w:val="0098692E"/>
    <w:rsid w:val="009920D6"/>
    <w:rsid w:val="0099356F"/>
    <w:rsid w:val="00993ADB"/>
    <w:rsid w:val="00994B41"/>
    <w:rsid w:val="009A1791"/>
    <w:rsid w:val="009A32F4"/>
    <w:rsid w:val="009A5159"/>
    <w:rsid w:val="009A550B"/>
    <w:rsid w:val="009A5A62"/>
    <w:rsid w:val="009A5A96"/>
    <w:rsid w:val="009B0CC7"/>
    <w:rsid w:val="009B33BE"/>
    <w:rsid w:val="009B488D"/>
    <w:rsid w:val="009B4B07"/>
    <w:rsid w:val="009B5BA7"/>
    <w:rsid w:val="009B686E"/>
    <w:rsid w:val="009B6D4C"/>
    <w:rsid w:val="009C25B0"/>
    <w:rsid w:val="009C30F8"/>
    <w:rsid w:val="009C514F"/>
    <w:rsid w:val="009C6A8C"/>
    <w:rsid w:val="009D0A8F"/>
    <w:rsid w:val="009D3699"/>
    <w:rsid w:val="009D4B68"/>
    <w:rsid w:val="009D5AC5"/>
    <w:rsid w:val="009E2F90"/>
    <w:rsid w:val="009E534A"/>
    <w:rsid w:val="009E5D22"/>
    <w:rsid w:val="009E752B"/>
    <w:rsid w:val="009F0628"/>
    <w:rsid w:val="009F1018"/>
    <w:rsid w:val="009F1979"/>
    <w:rsid w:val="009F2781"/>
    <w:rsid w:val="009F3310"/>
    <w:rsid w:val="009F473C"/>
    <w:rsid w:val="00A01CD3"/>
    <w:rsid w:val="00A032D4"/>
    <w:rsid w:val="00A070DC"/>
    <w:rsid w:val="00A17999"/>
    <w:rsid w:val="00A20DD9"/>
    <w:rsid w:val="00A22745"/>
    <w:rsid w:val="00A24EB6"/>
    <w:rsid w:val="00A26E73"/>
    <w:rsid w:val="00A26F1F"/>
    <w:rsid w:val="00A30AC0"/>
    <w:rsid w:val="00A33A5A"/>
    <w:rsid w:val="00A33F44"/>
    <w:rsid w:val="00A41C31"/>
    <w:rsid w:val="00A42975"/>
    <w:rsid w:val="00A43A5B"/>
    <w:rsid w:val="00A44B4F"/>
    <w:rsid w:val="00A44FCF"/>
    <w:rsid w:val="00A45413"/>
    <w:rsid w:val="00A45EC3"/>
    <w:rsid w:val="00A47C76"/>
    <w:rsid w:val="00A5202B"/>
    <w:rsid w:val="00A650B0"/>
    <w:rsid w:val="00A650DB"/>
    <w:rsid w:val="00A662ED"/>
    <w:rsid w:val="00A67216"/>
    <w:rsid w:val="00A67458"/>
    <w:rsid w:val="00A6749B"/>
    <w:rsid w:val="00A67F99"/>
    <w:rsid w:val="00A72FD7"/>
    <w:rsid w:val="00A741B5"/>
    <w:rsid w:val="00A75BC6"/>
    <w:rsid w:val="00A75E3B"/>
    <w:rsid w:val="00A77F0D"/>
    <w:rsid w:val="00A8027E"/>
    <w:rsid w:val="00A80425"/>
    <w:rsid w:val="00A81E58"/>
    <w:rsid w:val="00A83CC8"/>
    <w:rsid w:val="00A844CA"/>
    <w:rsid w:val="00A84743"/>
    <w:rsid w:val="00A870EB"/>
    <w:rsid w:val="00A879CB"/>
    <w:rsid w:val="00A95A84"/>
    <w:rsid w:val="00AA3AFC"/>
    <w:rsid w:val="00AA574D"/>
    <w:rsid w:val="00AA57DA"/>
    <w:rsid w:val="00AA5D0E"/>
    <w:rsid w:val="00AB0AE2"/>
    <w:rsid w:val="00AB310B"/>
    <w:rsid w:val="00AB3787"/>
    <w:rsid w:val="00AB4A3D"/>
    <w:rsid w:val="00AC1FDF"/>
    <w:rsid w:val="00AC2BB0"/>
    <w:rsid w:val="00AC5464"/>
    <w:rsid w:val="00AC68AA"/>
    <w:rsid w:val="00AC7114"/>
    <w:rsid w:val="00AD1194"/>
    <w:rsid w:val="00AD4ADB"/>
    <w:rsid w:val="00AD6BEF"/>
    <w:rsid w:val="00AE1C18"/>
    <w:rsid w:val="00AE1F97"/>
    <w:rsid w:val="00AE3D04"/>
    <w:rsid w:val="00AE7FEE"/>
    <w:rsid w:val="00AF028F"/>
    <w:rsid w:val="00AF3075"/>
    <w:rsid w:val="00AF4B2C"/>
    <w:rsid w:val="00AF5C52"/>
    <w:rsid w:val="00AF6E70"/>
    <w:rsid w:val="00AF6EA0"/>
    <w:rsid w:val="00AF7F71"/>
    <w:rsid w:val="00B0547A"/>
    <w:rsid w:val="00B06247"/>
    <w:rsid w:val="00B06E11"/>
    <w:rsid w:val="00B0701A"/>
    <w:rsid w:val="00B16A8E"/>
    <w:rsid w:val="00B16BBD"/>
    <w:rsid w:val="00B172B2"/>
    <w:rsid w:val="00B2062F"/>
    <w:rsid w:val="00B309BE"/>
    <w:rsid w:val="00B333C3"/>
    <w:rsid w:val="00B3498C"/>
    <w:rsid w:val="00B42F65"/>
    <w:rsid w:val="00B45231"/>
    <w:rsid w:val="00B47947"/>
    <w:rsid w:val="00B50093"/>
    <w:rsid w:val="00B52B8F"/>
    <w:rsid w:val="00B53498"/>
    <w:rsid w:val="00B5489F"/>
    <w:rsid w:val="00B56519"/>
    <w:rsid w:val="00B573B5"/>
    <w:rsid w:val="00B578F5"/>
    <w:rsid w:val="00B6050D"/>
    <w:rsid w:val="00B634B5"/>
    <w:rsid w:val="00B63C18"/>
    <w:rsid w:val="00B642CA"/>
    <w:rsid w:val="00B64F43"/>
    <w:rsid w:val="00B66235"/>
    <w:rsid w:val="00B66BF9"/>
    <w:rsid w:val="00B66DFA"/>
    <w:rsid w:val="00B6767C"/>
    <w:rsid w:val="00B72DA1"/>
    <w:rsid w:val="00B7440E"/>
    <w:rsid w:val="00B759CC"/>
    <w:rsid w:val="00B77F7B"/>
    <w:rsid w:val="00B804B5"/>
    <w:rsid w:val="00B80CC0"/>
    <w:rsid w:val="00B84F8B"/>
    <w:rsid w:val="00B851EE"/>
    <w:rsid w:val="00B8527F"/>
    <w:rsid w:val="00B878D2"/>
    <w:rsid w:val="00B91B40"/>
    <w:rsid w:val="00B9439D"/>
    <w:rsid w:val="00B94A78"/>
    <w:rsid w:val="00B95914"/>
    <w:rsid w:val="00BA1DDD"/>
    <w:rsid w:val="00BA318C"/>
    <w:rsid w:val="00BA7815"/>
    <w:rsid w:val="00BB7ED6"/>
    <w:rsid w:val="00BC15AC"/>
    <w:rsid w:val="00BC1E53"/>
    <w:rsid w:val="00BC2821"/>
    <w:rsid w:val="00BC4D33"/>
    <w:rsid w:val="00BC5C2F"/>
    <w:rsid w:val="00BD186D"/>
    <w:rsid w:val="00BD3832"/>
    <w:rsid w:val="00BD3FC7"/>
    <w:rsid w:val="00BD4652"/>
    <w:rsid w:val="00BD5362"/>
    <w:rsid w:val="00BD5A40"/>
    <w:rsid w:val="00BD6502"/>
    <w:rsid w:val="00BD716F"/>
    <w:rsid w:val="00BD7586"/>
    <w:rsid w:val="00BE4D8F"/>
    <w:rsid w:val="00BE5934"/>
    <w:rsid w:val="00BE60D6"/>
    <w:rsid w:val="00BF59C6"/>
    <w:rsid w:val="00BF5A10"/>
    <w:rsid w:val="00BF6D6A"/>
    <w:rsid w:val="00C03521"/>
    <w:rsid w:val="00C050B2"/>
    <w:rsid w:val="00C05A09"/>
    <w:rsid w:val="00C079C6"/>
    <w:rsid w:val="00C104D0"/>
    <w:rsid w:val="00C118D2"/>
    <w:rsid w:val="00C151CC"/>
    <w:rsid w:val="00C162F7"/>
    <w:rsid w:val="00C20AC8"/>
    <w:rsid w:val="00C20C04"/>
    <w:rsid w:val="00C268B8"/>
    <w:rsid w:val="00C279F5"/>
    <w:rsid w:val="00C3151F"/>
    <w:rsid w:val="00C32C00"/>
    <w:rsid w:val="00C33B21"/>
    <w:rsid w:val="00C34B67"/>
    <w:rsid w:val="00C35ED6"/>
    <w:rsid w:val="00C41007"/>
    <w:rsid w:val="00C461B5"/>
    <w:rsid w:val="00C46C5E"/>
    <w:rsid w:val="00C51107"/>
    <w:rsid w:val="00C51437"/>
    <w:rsid w:val="00C526CA"/>
    <w:rsid w:val="00C57C2B"/>
    <w:rsid w:val="00C65E9F"/>
    <w:rsid w:val="00C705F1"/>
    <w:rsid w:val="00C70CE3"/>
    <w:rsid w:val="00C718C8"/>
    <w:rsid w:val="00C71F75"/>
    <w:rsid w:val="00C7615F"/>
    <w:rsid w:val="00C76BE1"/>
    <w:rsid w:val="00C77A53"/>
    <w:rsid w:val="00C8024E"/>
    <w:rsid w:val="00C842BE"/>
    <w:rsid w:val="00C86AF3"/>
    <w:rsid w:val="00C91E96"/>
    <w:rsid w:val="00C97637"/>
    <w:rsid w:val="00CA2129"/>
    <w:rsid w:val="00CA3069"/>
    <w:rsid w:val="00CA6C2B"/>
    <w:rsid w:val="00CA7DA0"/>
    <w:rsid w:val="00CB17C8"/>
    <w:rsid w:val="00CB311E"/>
    <w:rsid w:val="00CB3B04"/>
    <w:rsid w:val="00CB56A1"/>
    <w:rsid w:val="00CC0A38"/>
    <w:rsid w:val="00CD04D2"/>
    <w:rsid w:val="00CD13FB"/>
    <w:rsid w:val="00CD658D"/>
    <w:rsid w:val="00CD7E8F"/>
    <w:rsid w:val="00CE5401"/>
    <w:rsid w:val="00CF2959"/>
    <w:rsid w:val="00CF3C0E"/>
    <w:rsid w:val="00CF4276"/>
    <w:rsid w:val="00CF44E1"/>
    <w:rsid w:val="00CF4D64"/>
    <w:rsid w:val="00CF57FE"/>
    <w:rsid w:val="00CF64FA"/>
    <w:rsid w:val="00D07400"/>
    <w:rsid w:val="00D113AE"/>
    <w:rsid w:val="00D11944"/>
    <w:rsid w:val="00D13A1B"/>
    <w:rsid w:val="00D205ED"/>
    <w:rsid w:val="00D2395E"/>
    <w:rsid w:val="00D2596A"/>
    <w:rsid w:val="00D26C9A"/>
    <w:rsid w:val="00D30CF2"/>
    <w:rsid w:val="00D3494D"/>
    <w:rsid w:val="00D34DC9"/>
    <w:rsid w:val="00D3595B"/>
    <w:rsid w:val="00D35B6D"/>
    <w:rsid w:val="00D362C1"/>
    <w:rsid w:val="00D379FF"/>
    <w:rsid w:val="00D37CC4"/>
    <w:rsid w:val="00D406E4"/>
    <w:rsid w:val="00D426C0"/>
    <w:rsid w:val="00D43019"/>
    <w:rsid w:val="00D50F26"/>
    <w:rsid w:val="00D52DE1"/>
    <w:rsid w:val="00D531C7"/>
    <w:rsid w:val="00D61358"/>
    <w:rsid w:val="00D6201B"/>
    <w:rsid w:val="00D6422A"/>
    <w:rsid w:val="00D64D82"/>
    <w:rsid w:val="00D763FD"/>
    <w:rsid w:val="00D82561"/>
    <w:rsid w:val="00D82AE3"/>
    <w:rsid w:val="00D830A5"/>
    <w:rsid w:val="00D86CE0"/>
    <w:rsid w:val="00D943EA"/>
    <w:rsid w:val="00D963D9"/>
    <w:rsid w:val="00D973FA"/>
    <w:rsid w:val="00DA0B48"/>
    <w:rsid w:val="00DA0C32"/>
    <w:rsid w:val="00DA2EEA"/>
    <w:rsid w:val="00DA44A3"/>
    <w:rsid w:val="00DA478A"/>
    <w:rsid w:val="00DB277F"/>
    <w:rsid w:val="00DB4835"/>
    <w:rsid w:val="00DB52C5"/>
    <w:rsid w:val="00DC11AD"/>
    <w:rsid w:val="00DC190C"/>
    <w:rsid w:val="00DC1AE5"/>
    <w:rsid w:val="00DC22CA"/>
    <w:rsid w:val="00DC2C26"/>
    <w:rsid w:val="00DC41BB"/>
    <w:rsid w:val="00DC4638"/>
    <w:rsid w:val="00DC5BC4"/>
    <w:rsid w:val="00DC6020"/>
    <w:rsid w:val="00DC7A6B"/>
    <w:rsid w:val="00DD27D4"/>
    <w:rsid w:val="00DD2A82"/>
    <w:rsid w:val="00DD46BD"/>
    <w:rsid w:val="00DD4952"/>
    <w:rsid w:val="00DD4BFB"/>
    <w:rsid w:val="00DD7C71"/>
    <w:rsid w:val="00DE0FE8"/>
    <w:rsid w:val="00DE2AF5"/>
    <w:rsid w:val="00DE3B06"/>
    <w:rsid w:val="00DF0BA9"/>
    <w:rsid w:val="00DF167E"/>
    <w:rsid w:val="00DF72A8"/>
    <w:rsid w:val="00E02A68"/>
    <w:rsid w:val="00E03812"/>
    <w:rsid w:val="00E03DB4"/>
    <w:rsid w:val="00E15DC4"/>
    <w:rsid w:val="00E161E8"/>
    <w:rsid w:val="00E1729B"/>
    <w:rsid w:val="00E1791D"/>
    <w:rsid w:val="00E221DB"/>
    <w:rsid w:val="00E26EA6"/>
    <w:rsid w:val="00E30BDE"/>
    <w:rsid w:val="00E34090"/>
    <w:rsid w:val="00E36F67"/>
    <w:rsid w:val="00E4043A"/>
    <w:rsid w:val="00E40F78"/>
    <w:rsid w:val="00E42722"/>
    <w:rsid w:val="00E43A52"/>
    <w:rsid w:val="00E4638A"/>
    <w:rsid w:val="00E47A94"/>
    <w:rsid w:val="00E50817"/>
    <w:rsid w:val="00E51E12"/>
    <w:rsid w:val="00E53818"/>
    <w:rsid w:val="00E54906"/>
    <w:rsid w:val="00E56321"/>
    <w:rsid w:val="00E56832"/>
    <w:rsid w:val="00E60D21"/>
    <w:rsid w:val="00E6694B"/>
    <w:rsid w:val="00E676DF"/>
    <w:rsid w:val="00E74F0E"/>
    <w:rsid w:val="00E82620"/>
    <w:rsid w:val="00E82CDB"/>
    <w:rsid w:val="00E857A5"/>
    <w:rsid w:val="00E86184"/>
    <w:rsid w:val="00E86196"/>
    <w:rsid w:val="00E870C5"/>
    <w:rsid w:val="00E90DDB"/>
    <w:rsid w:val="00E93293"/>
    <w:rsid w:val="00E93704"/>
    <w:rsid w:val="00E95BC5"/>
    <w:rsid w:val="00E96430"/>
    <w:rsid w:val="00E9767A"/>
    <w:rsid w:val="00EA0A39"/>
    <w:rsid w:val="00EA444C"/>
    <w:rsid w:val="00EA5F3B"/>
    <w:rsid w:val="00EA607E"/>
    <w:rsid w:val="00EA6824"/>
    <w:rsid w:val="00EB1C5E"/>
    <w:rsid w:val="00EB3863"/>
    <w:rsid w:val="00EB44F8"/>
    <w:rsid w:val="00EB4F59"/>
    <w:rsid w:val="00EB4F88"/>
    <w:rsid w:val="00EB526A"/>
    <w:rsid w:val="00EB5C38"/>
    <w:rsid w:val="00EC0F72"/>
    <w:rsid w:val="00EC1793"/>
    <w:rsid w:val="00EC2509"/>
    <w:rsid w:val="00EC5467"/>
    <w:rsid w:val="00EC7D90"/>
    <w:rsid w:val="00ED1E23"/>
    <w:rsid w:val="00ED2426"/>
    <w:rsid w:val="00ED75DE"/>
    <w:rsid w:val="00EE05E2"/>
    <w:rsid w:val="00EE375E"/>
    <w:rsid w:val="00EE6417"/>
    <w:rsid w:val="00EF0A6C"/>
    <w:rsid w:val="00EF4FCC"/>
    <w:rsid w:val="00EF634D"/>
    <w:rsid w:val="00F00746"/>
    <w:rsid w:val="00F00A03"/>
    <w:rsid w:val="00F013F7"/>
    <w:rsid w:val="00F02F04"/>
    <w:rsid w:val="00F07734"/>
    <w:rsid w:val="00F07DA1"/>
    <w:rsid w:val="00F07F3F"/>
    <w:rsid w:val="00F216F4"/>
    <w:rsid w:val="00F218DD"/>
    <w:rsid w:val="00F251E7"/>
    <w:rsid w:val="00F26603"/>
    <w:rsid w:val="00F3127E"/>
    <w:rsid w:val="00F34DC9"/>
    <w:rsid w:val="00F35072"/>
    <w:rsid w:val="00F3607B"/>
    <w:rsid w:val="00F37EB5"/>
    <w:rsid w:val="00F467E1"/>
    <w:rsid w:val="00F47756"/>
    <w:rsid w:val="00F47835"/>
    <w:rsid w:val="00F47F80"/>
    <w:rsid w:val="00F5168F"/>
    <w:rsid w:val="00F53379"/>
    <w:rsid w:val="00F53F3C"/>
    <w:rsid w:val="00F55373"/>
    <w:rsid w:val="00F5577B"/>
    <w:rsid w:val="00F60A26"/>
    <w:rsid w:val="00F60A3F"/>
    <w:rsid w:val="00F62249"/>
    <w:rsid w:val="00F64358"/>
    <w:rsid w:val="00F65190"/>
    <w:rsid w:val="00F65B36"/>
    <w:rsid w:val="00F66CD3"/>
    <w:rsid w:val="00F67106"/>
    <w:rsid w:val="00F67CCA"/>
    <w:rsid w:val="00F718E2"/>
    <w:rsid w:val="00F74D39"/>
    <w:rsid w:val="00F75CAC"/>
    <w:rsid w:val="00F76047"/>
    <w:rsid w:val="00F765A2"/>
    <w:rsid w:val="00F768FB"/>
    <w:rsid w:val="00F77BD1"/>
    <w:rsid w:val="00F77F03"/>
    <w:rsid w:val="00F85F99"/>
    <w:rsid w:val="00F85FC5"/>
    <w:rsid w:val="00F903A7"/>
    <w:rsid w:val="00F91D45"/>
    <w:rsid w:val="00F92E8B"/>
    <w:rsid w:val="00F947BC"/>
    <w:rsid w:val="00FA072C"/>
    <w:rsid w:val="00FA25E5"/>
    <w:rsid w:val="00FC2106"/>
    <w:rsid w:val="00FC45FD"/>
    <w:rsid w:val="00FC47BE"/>
    <w:rsid w:val="00FC60AF"/>
    <w:rsid w:val="00FC73FE"/>
    <w:rsid w:val="00FC7507"/>
    <w:rsid w:val="00FD10EE"/>
    <w:rsid w:val="00FD5A59"/>
    <w:rsid w:val="00FD605C"/>
    <w:rsid w:val="00FE0BA2"/>
    <w:rsid w:val="00FE3BDD"/>
    <w:rsid w:val="00FE452F"/>
    <w:rsid w:val="00FE4CF6"/>
    <w:rsid w:val="00FE550E"/>
    <w:rsid w:val="00FE6052"/>
    <w:rsid w:val="00FE62B4"/>
    <w:rsid w:val="00FE7C30"/>
    <w:rsid w:val="00FE7EA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&#1086;&#1093;&#1088;&#1072;&#1085;&#1072;&#1090;&#1088;&#1091;&#1076;&#1072;&#1074;&#1083;&#1077;&#1085;&#1086;&#1073;&#1083;&#1072;&#1089;&#1090;&#1080;.&#1088;&#1092;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www.tt47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job.lenobl.ru/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www.&#1090;&#1077;&#1088;&#1088;&#1080;&#1090;&#1086;&#1088;&#1080;&#1103;&#1090;&#1088;&#1091;&#1076;&#1072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tt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2016-2017 гг.</a:t>
            </a:r>
            <a:endParaRPr lang="ru-RU" sz="1200"/>
          </a:p>
        </c:rich>
      </c:tx>
      <c:layout>
        <c:manualLayout>
          <c:xMode val="edge"/>
          <c:yMode val="edge"/>
          <c:x val="0.18020113821005185"/>
          <c:y val="1.081909826873467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3469041389208525E-2"/>
          <c:y val="0.18922345444124938"/>
          <c:w val="0.89506193182805793"/>
          <c:h val="0.59489768570714174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5708745660568156E-2"/>
                  <c:y val="8.6488051676454417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415468106138851E-2"/>
                  <c:y val="7.10633230744428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59949641484E-2"/>
                  <c:y val="6.9864801098352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00106045513452E-2"/>
                  <c:y val="7.4337210136454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88661708667E-2"/>
                  <c:y val="6.981686298605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207108187133611E-2"/>
                  <c:y val="7.4302113385373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172348713927E-2"/>
                  <c:y val="6.7059616083950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158564192216533E-2"/>
                  <c:y val="6.9032360685479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591833473606E-2"/>
                  <c:y val="6.54057016621652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33209290428366E-2"/>
                  <c:y val="6.1925597579507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5280047838556587E-2"/>
                  <c:y val="5.855617765730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924829980398E-2"/>
                  <c:y val="5.9954710040806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6741338340854399E-2"/>
                  <c:y val="8.972920886299583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35029696392E-2"/>
                  <c:y val="4.9788378642450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98303636941E-2"/>
                  <c:y val="5.114454853727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572674938581E-2"/>
                  <c:y val="5.0675326168170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311264663345655E-2"/>
                  <c:y val="6.2488833632638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489477584425728E-2"/>
                  <c:y val="5.3910224725558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235533869954568E-2"/>
                  <c:y val="6.620757931574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3184030021282111E-2"/>
                  <c:y val="5.8543364561181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5359077407234695E-2"/>
                  <c:y val="8.9031210211681339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Sheet1!$A$50:$A$74</c:f>
              <c:numCache>
                <c:formatCode>m/d/yyyy</c:formatCode>
                <c:ptCount val="25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</c:numCache>
            </c:numRef>
          </c:cat>
          <c:val>
            <c:numRef>
              <c:f>Sheet1!$B$50:$B$74</c:f>
              <c:numCache>
                <c:formatCode>General</c:formatCode>
                <c:ptCount val="25"/>
                <c:pt idx="0">
                  <c:v>4538</c:v>
                </c:pt>
                <c:pt idx="1">
                  <c:v>4574</c:v>
                </c:pt>
                <c:pt idx="2">
                  <c:v>4873</c:v>
                </c:pt>
                <c:pt idx="3">
                  <c:v>4777</c:v>
                </c:pt>
                <c:pt idx="4">
                  <c:v>4674</c:v>
                </c:pt>
                <c:pt idx="5">
                  <c:v>4402</c:v>
                </c:pt>
                <c:pt idx="6">
                  <c:v>4129</c:v>
                </c:pt>
                <c:pt idx="7">
                  <c:v>4070</c:v>
                </c:pt>
                <c:pt idx="8">
                  <c:v>4039</c:v>
                </c:pt>
                <c:pt idx="9">
                  <c:v>3922</c:v>
                </c:pt>
                <c:pt idx="10">
                  <c:v>3890</c:v>
                </c:pt>
                <c:pt idx="11">
                  <c:v>3844</c:v>
                </c:pt>
                <c:pt idx="12">
                  <c:v>4063</c:v>
                </c:pt>
                <c:pt idx="13">
                  <c:v>4269</c:v>
                </c:pt>
                <c:pt idx="14">
                  <c:v>4518</c:v>
                </c:pt>
                <c:pt idx="15">
                  <c:v>4411</c:v>
                </c:pt>
                <c:pt idx="16">
                  <c:v>4143</c:v>
                </c:pt>
                <c:pt idx="17">
                  <c:v>3787</c:v>
                </c:pt>
                <c:pt idx="18">
                  <c:v>3699</c:v>
                </c:pt>
                <c:pt idx="19">
                  <c:v>3721</c:v>
                </c:pt>
                <c:pt idx="20">
                  <c:v>3567</c:v>
                </c:pt>
                <c:pt idx="21">
                  <c:v>3548</c:v>
                </c:pt>
                <c:pt idx="22">
                  <c:v>3350</c:v>
                </c:pt>
                <c:pt idx="23">
                  <c:v>3355</c:v>
                </c:pt>
                <c:pt idx="24">
                  <c:v>3456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994880"/>
        <c:axId val="127812352"/>
      </c:lineChart>
      <c:dateAx>
        <c:axId val="127994880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8123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2781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994880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  <a:endParaRPr lang="ru-RU" sz="1200"/>
          </a:p>
        </c:rich>
      </c:tx>
      <c:layout>
        <c:manualLayout>
          <c:xMode val="edge"/>
          <c:yMode val="edge"/>
          <c:x val="0.20112262788192339"/>
          <c:y val="1.50946254989322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511212467360274E-2"/>
          <c:y val="0.14397327664168258"/>
          <c:w val="0.91191902287453186"/>
          <c:h val="0.5548567184883487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4.0390230586369549E-2"/>
                  <c:y val="7.834332152168825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897847199767317E-2"/>
                  <c:y val="6.6082759438644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412883003943579E-2"/>
                  <c:y val="5.9757527524456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199487838604E-2"/>
                  <c:y val="6.93308902164456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100360560323E-2"/>
                  <c:y val="7.1432807266783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8194793567438E-2"/>
                  <c:y val="6.696626934504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23512140233E-2"/>
                  <c:y val="6.706510556997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944554304218E-2"/>
                  <c:y val="6.2231584447819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943574503071E-2"/>
                  <c:y val="6.0403544009192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7055868163937E-2"/>
                  <c:y val="6.3532498353445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4131852311632009E-2"/>
                  <c:y val="7.2372467608217791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5157653741849209E-2"/>
                  <c:y val="7.2194848885141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8149378240615114E-2"/>
                  <c:y val="7.3818627792230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108717305433104E-2"/>
                  <c:y val="6.7099483387349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295667589055474E-2"/>
                  <c:y val="6.854507060773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44969785402E-2"/>
                  <c:y val="6.4240108427636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5247996932231231E-2"/>
                  <c:y val="6.5702025111276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98810752139556E-2"/>
                  <c:y val="6.733583088176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10070990899E-2"/>
                  <c:y val="6.2843509596997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597958178901E-2"/>
                  <c:y val="5.7192082903252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7083133608804235E-2"/>
                  <c:y val="6.1116597237799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3.0540548006194032E-2"/>
                  <c:y val="6.3919821762476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0372389431146627E-2"/>
                  <c:y val="7.1344857350679233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Лист2!$A$35:$A$59</c:f>
              <c:numCache>
                <c:formatCode>m/d/yyyy</c:formatCode>
                <c:ptCount val="25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</c:numCache>
            </c:numRef>
          </c:cat>
          <c:val>
            <c:numRef>
              <c:f>Лист2!$B$35:$B$59</c:f>
              <c:numCache>
                <c:formatCode>0.00</c:formatCode>
                <c:ptCount val="25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  <c:pt idx="17">
                  <c:v>0.38</c:v>
                </c:pt>
                <c:pt idx="18">
                  <c:v>0.37</c:v>
                </c:pt>
                <c:pt idx="19">
                  <c:v>0.38</c:v>
                </c:pt>
                <c:pt idx="20">
                  <c:v>0.36</c:v>
                </c:pt>
                <c:pt idx="21">
                  <c:v>0.36</c:v>
                </c:pt>
                <c:pt idx="22" formatCode="General">
                  <c:v>0.34</c:v>
                </c:pt>
                <c:pt idx="23" formatCode="General">
                  <c:v>0.34</c:v>
                </c:pt>
                <c:pt idx="24" formatCode="General">
                  <c:v>0.35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3.2025686063912935E-2"/>
                  <c:y val="6.6659733806830504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654440546543806E-2"/>
                  <c:y val="5.1210629162759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56501328040479E-2"/>
                  <c:y val="4.356143564547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831327963654E-2"/>
                  <c:y val="5.3198239970343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060620930697351E-2"/>
                  <c:y val="5.8487267172650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089969468551307E-2"/>
                  <c:y val="5.885998000929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246506919540938E-2"/>
                  <c:y val="5.3420549855999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252143619674629E-2"/>
                  <c:y val="6.305722502831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036896093956918E-2"/>
                  <c:y val="6.0314448165843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374597639702906E-2"/>
                  <c:y val="5.341080947441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497925843839522E-2"/>
                  <c:y val="6.2340447536156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433294715410825E-2"/>
                  <c:y val="6.4512266148478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4292715186592812E-2"/>
                  <c:y val="7.0892789052269464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810865880984221E-2"/>
                  <c:y val="6.5767056482467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8359312416826581E-2"/>
                  <c:y val="6.4646912599842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9874348221002843E-2"/>
                  <c:y val="6.4188828183393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2849336481262724E-2"/>
                  <c:y val="4.5629104030999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934203834385983E-2"/>
                  <c:y val="5.86462645779850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8958079784736225E-2"/>
                  <c:y val="6.4479034258354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2302565194148494E-2"/>
                  <c:y val="5.7973891766598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525761620717837E-2"/>
                  <c:y val="6.2188325694295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6831098855923734E-2"/>
                  <c:y val="6.5157709669591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3.0969190697251195E-2"/>
                  <c:y val="6.3077278755110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658726973454376E-2"/>
                  <c:y val="6.840784582007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690507952962E-2"/>
                  <c:y val="6.278220248935505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Лист2!$A$35:$A$59</c:f>
              <c:numCache>
                <c:formatCode>m/d/yyyy</c:formatCode>
                <c:ptCount val="25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</c:numCache>
            </c:numRef>
          </c:cat>
          <c:val>
            <c:numRef>
              <c:f>Лист2!$C$35:$C$59</c:f>
              <c:numCache>
                <c:formatCode>0.0</c:formatCode>
                <c:ptCount val="25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1.1000000000000001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0.9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51136"/>
        <c:axId val="155052672"/>
      </c:lineChart>
      <c:dateAx>
        <c:axId val="15505113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05267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55052672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051136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rgbClr val="96B4D7"/>
            </a:gs>
          </a:gsLst>
          <a:lin ang="5400000" scaled="0"/>
        </a:gradFill>
        <a:ln>
          <a:gradFill>
            <a:gsLst>
              <a:gs pos="88750">
                <a:srgbClr val="DAE3F3"/>
              </a:gs>
              <a:gs pos="29000">
                <a:srgbClr val="CAD7EF"/>
              </a:gs>
              <a:gs pos="38350">
                <a:srgbClr val="B9CAEB"/>
              </a:gs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74489765242042"/>
          <c:y val="0.92301294307061454"/>
          <c:w val="0.78762136667029259"/>
          <c:h val="5.3304354305869439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310675390470401"/>
          <c:y val="1.44792956985987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60333814838706E-2"/>
          <c:y val="0.16407086902916013"/>
          <c:w val="0.88518635170603677"/>
          <c:h val="0.636419035901309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sz="160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160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spPr/>
              <c:txPr>
                <a:bodyPr rot="-5400000" vert="horz"/>
                <a:lstStyle/>
                <a:p>
                  <a:pPr>
                    <a:defRPr sz="160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2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Лист1!$A$49:$A$74</c:f>
              <c:numCache>
                <c:formatCode>dd/mm/yy;@</c:formatCode>
                <c:ptCount val="2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</c:numCache>
            </c:numRef>
          </c:cat>
          <c:val>
            <c:numRef>
              <c:f>Лист1!$B$49:$B$74</c:f>
              <c:numCache>
                <c:formatCode>General</c:formatCode>
                <c:ptCount val="26"/>
                <c:pt idx="0">
                  <c:v>12764</c:v>
                </c:pt>
                <c:pt idx="1">
                  <c:v>12658</c:v>
                </c:pt>
                <c:pt idx="2">
                  <c:v>13637</c:v>
                </c:pt>
                <c:pt idx="3">
                  <c:v>15050</c:v>
                </c:pt>
                <c:pt idx="4">
                  <c:v>14530</c:v>
                </c:pt>
                <c:pt idx="5">
                  <c:v>18025</c:v>
                </c:pt>
                <c:pt idx="6">
                  <c:v>17998</c:v>
                </c:pt>
                <c:pt idx="7">
                  <c:v>17952</c:v>
                </c:pt>
                <c:pt idx="8">
                  <c:v>18139</c:v>
                </c:pt>
                <c:pt idx="9">
                  <c:v>18377</c:v>
                </c:pt>
                <c:pt idx="10">
                  <c:v>17036</c:v>
                </c:pt>
                <c:pt idx="11">
                  <c:v>16562</c:v>
                </c:pt>
                <c:pt idx="12">
                  <c:v>15114</c:v>
                </c:pt>
                <c:pt idx="13">
                  <c:v>15774</c:v>
                </c:pt>
                <c:pt idx="14">
                  <c:v>17210</c:v>
                </c:pt>
                <c:pt idx="15">
                  <c:v>18778</c:v>
                </c:pt>
                <c:pt idx="16">
                  <c:v>18327</c:v>
                </c:pt>
                <c:pt idx="17">
                  <c:v>20810</c:v>
                </c:pt>
                <c:pt idx="18">
                  <c:v>20220</c:v>
                </c:pt>
                <c:pt idx="19">
                  <c:v>21163</c:v>
                </c:pt>
                <c:pt idx="20">
                  <c:v>21200</c:v>
                </c:pt>
                <c:pt idx="21">
                  <c:v>21671</c:v>
                </c:pt>
                <c:pt idx="22">
                  <c:v>20876</c:v>
                </c:pt>
                <c:pt idx="23">
                  <c:v>19495</c:v>
                </c:pt>
                <c:pt idx="24">
                  <c:v>18683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56588288"/>
        <c:axId val="156602368"/>
      </c:barChart>
      <c:dateAx>
        <c:axId val="15658828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15660236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56602368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65882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200"/>
              <a:t>Трудоустроены на все виды работ</a:t>
            </a:r>
          </a:p>
        </c:rich>
      </c:tx>
      <c:layout>
        <c:manualLayout>
          <c:xMode val="edge"/>
          <c:yMode val="edge"/>
          <c:x val="0.35203077563564494"/>
          <c:y val="3.4075906496773296E-3"/>
        </c:manualLayout>
      </c:layout>
      <c:overlay val="0"/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92331660944855E-2"/>
          <c:y val="0.20539314360491365"/>
          <c:w val="0.93392569535772119"/>
          <c:h val="0.670852601254707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За 2016 год - 19045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678491391899392E-2"/>
                  <c:y val="6.335414996338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375009913669175E-2"/>
                  <c:y val="-6.6879879541990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781627702113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13646420181967E-2"/>
                  <c:y val="2.2905460374275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044183050065571E-2"/>
                  <c:y val="2.5872603358324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445210455021921E-2"/>
                  <c:y val="2.2939333298380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688858633065875E-2"/>
                  <c:y val="5.94109143080058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383512994536568E-2"/>
                  <c:y val="1.4774816864236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930459358004066E-2"/>
                  <c:y val="1.1882327228941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2851465977109575E-2"/>
                  <c:y val="2.5248583080857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62517868321429E-2"/>
                  <c:y val="9.2275736205914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6519039955937297E-2"/>
                  <c:y val="1.2119689908760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Лист1!$A$3:$A$14</c:f>
              <c:strCache>
                <c:ptCount val="12"/>
                <c:pt idx="0">
                  <c:v>янв.16/янв.17</c:v>
                </c:pt>
                <c:pt idx="1">
                  <c:v>фев.16/фев.17</c:v>
                </c:pt>
                <c:pt idx="2">
                  <c:v>мар.16/мар.17</c:v>
                </c:pt>
                <c:pt idx="3">
                  <c:v>апр.16/апр.17</c:v>
                </c:pt>
                <c:pt idx="4">
                  <c:v>май16/май17</c:v>
                </c:pt>
                <c:pt idx="5">
                  <c:v>июн.16/июн.17</c:v>
                </c:pt>
                <c:pt idx="6">
                  <c:v>июл.16/июл.17</c:v>
                </c:pt>
                <c:pt idx="7">
                  <c:v>авг.16/авг.17</c:v>
                </c:pt>
                <c:pt idx="8">
                  <c:v>сен.16/сен.17</c:v>
                </c:pt>
                <c:pt idx="9">
                  <c:v>окт.16/окт.17</c:v>
                </c:pt>
                <c:pt idx="10">
                  <c:v>ноя.16/ноя.17</c:v>
                </c:pt>
                <c:pt idx="11">
                  <c:v>дек.16/дек.17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551</c:v>
                </c:pt>
                <c:pt idx="1">
                  <c:v>812</c:v>
                </c:pt>
                <c:pt idx="2">
                  <c:v>891</c:v>
                </c:pt>
                <c:pt idx="3">
                  <c:v>1190</c:v>
                </c:pt>
                <c:pt idx="4">
                  <c:v>1252</c:v>
                </c:pt>
                <c:pt idx="5">
                  <c:v>5326</c:v>
                </c:pt>
                <c:pt idx="6">
                  <c:v>3130</c:v>
                </c:pt>
                <c:pt idx="7">
                  <c:v>1970</c:v>
                </c:pt>
                <c:pt idx="8">
                  <c:v>1044</c:v>
                </c:pt>
                <c:pt idx="9">
                  <c:v>1021</c:v>
                </c:pt>
                <c:pt idx="10">
                  <c:v>840</c:v>
                </c:pt>
                <c:pt idx="11">
                  <c:v>1018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За 2017 год - 20652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0307676019646971E-3"/>
                  <c:y val="4.5151135096414127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830020576160316E-3"/>
                  <c:y val="-2.9925992079037608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083408394724291E-4"/>
                  <c:y val="-2.7733972068681261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309613469991654E-3"/>
                  <c:y val="-2.025659770924778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192764988424248E-3"/>
                  <c:y val="-3.7407490098796325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283189017694186E-2"/>
                  <c:y val="4.1279696597480379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6041548740910258E-2"/>
                  <c:y val="-3.740749009879701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547257053757448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5906767111688696E-3"/>
                  <c:y val="-2.3617969969149132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Лист1!$A$3:$A$14</c:f>
              <c:strCache>
                <c:ptCount val="12"/>
                <c:pt idx="0">
                  <c:v>янв.16/янв.17</c:v>
                </c:pt>
                <c:pt idx="1">
                  <c:v>фев.16/фев.17</c:v>
                </c:pt>
                <c:pt idx="2">
                  <c:v>мар.16/мар.17</c:v>
                </c:pt>
                <c:pt idx="3">
                  <c:v>апр.16/апр.17</c:v>
                </c:pt>
                <c:pt idx="4">
                  <c:v>май16/май17</c:v>
                </c:pt>
                <c:pt idx="5">
                  <c:v>июн.16/июн.17</c:v>
                </c:pt>
                <c:pt idx="6">
                  <c:v>июл.16/июл.17</c:v>
                </c:pt>
                <c:pt idx="7">
                  <c:v>авг.16/авг.17</c:v>
                </c:pt>
                <c:pt idx="8">
                  <c:v>сен.16/сен.17</c:v>
                </c:pt>
                <c:pt idx="9">
                  <c:v>окт.16/окт.17</c:v>
                </c:pt>
                <c:pt idx="10">
                  <c:v>ноя.16/ноя.17</c:v>
                </c:pt>
                <c:pt idx="11">
                  <c:v>дек.16/дек.17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  <c:pt idx="5">
                  <c:v>5020</c:v>
                </c:pt>
                <c:pt idx="6">
                  <c:v>2781</c:v>
                </c:pt>
                <c:pt idx="7">
                  <c:v>2207</c:v>
                </c:pt>
                <c:pt idx="8">
                  <c:v>1380</c:v>
                </c:pt>
                <c:pt idx="9">
                  <c:v>1421</c:v>
                </c:pt>
                <c:pt idx="10">
                  <c:v>1380</c:v>
                </c:pt>
                <c:pt idx="11">
                  <c:v>1206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2"/>
        <c:shape val="cylinder"/>
        <c:axId val="156113920"/>
        <c:axId val="156136192"/>
        <c:axId val="0"/>
      </c:bar3DChart>
      <c:catAx>
        <c:axId val="15611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132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136192"/>
        <c:crosses val="autoZero"/>
        <c:auto val="1"/>
        <c:lblAlgn val="ctr"/>
        <c:lblOffset val="100"/>
        <c:noMultiLvlLbl val="0"/>
      </c:catAx>
      <c:valAx>
        <c:axId val="156136192"/>
        <c:scaling>
          <c:orientation val="minMax"/>
        </c:scaling>
        <c:delete val="0"/>
        <c:axPos val="l"/>
        <c:majorGridlines>
          <c:spPr>
            <a:ln w="6350"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113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7205467960572723"/>
          <c:y val="0.1009552498207273"/>
          <c:w val="0.68357819679319753"/>
          <c:h val="8.1331365934321956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0.01803</cdr:x>
      <cdr:y>0.06337</cdr:y>
    </cdr:from>
    <cdr:to>
      <cdr:x>0.07029</cdr:x>
      <cdr:y>0.12763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4760" y="363782"/>
          <a:ext cx="419626" cy="368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0.0574</cdr:y>
    </cdr:from>
    <cdr:to>
      <cdr:x>0.06364</cdr:x>
      <cdr:y>0.11229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0.01367</cdr:x>
      <cdr:y>0.07787</cdr:y>
    </cdr:from>
    <cdr:to>
      <cdr:x>0.05632</cdr:x>
      <cdr:y>0.12776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4103" y="255693"/>
          <a:ext cx="262458" cy="1638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16BE-FB73-4CED-8504-F9C40A1A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29</Pages>
  <Words>11209</Words>
  <Characters>63894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Романова</dc:creator>
  <cp:lastModifiedBy>Карпова Л.В.</cp:lastModifiedBy>
  <cp:revision>291</cp:revision>
  <cp:lastPrinted>2018-01-29T09:09:00Z</cp:lastPrinted>
  <dcterms:created xsi:type="dcterms:W3CDTF">2017-07-18T08:10:00Z</dcterms:created>
  <dcterms:modified xsi:type="dcterms:W3CDTF">2018-01-30T07:05:00Z</dcterms:modified>
</cp:coreProperties>
</file>