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51BAA3B" wp14:editId="415E98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19354F" wp14:editId="131EF80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1F218E" wp14:editId="135710B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904F1" wp14:editId="56AF3777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2C0EA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за 9 месяцев </w:t>
            </w:r>
            <w:r w:rsidR="00AB4A3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2017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EFA6A0" wp14:editId="76D80C28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9575809" wp14:editId="06D934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7924A" wp14:editId="644403D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C72C6" w:rsidRDefault="006C72C6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6C72C6" w:rsidRDefault="006C72C6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5B4D2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32082B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 9 месяцев </w:t>
      </w:r>
      <w:r w:rsidR="00032FDE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F77BD1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17</w:t>
      </w:r>
      <w:r w:rsidR="00AB4A3D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 w:rsidR="00F77BD1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:rsidR="00AB4A3D" w:rsidRPr="002D7A0D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36299" w:rsidRPr="009A32F4" w:rsidRDefault="00336299" w:rsidP="00336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2082B" w:rsidRPr="009A32F4">
        <w:rPr>
          <w:rFonts w:ascii="Times New Roman" w:eastAsia="Times New Roman" w:hAnsi="Times New Roman" w:cs="Times New Roman"/>
          <w:sz w:val="24"/>
          <w:szCs w:val="20"/>
          <w:lang w:eastAsia="ru-RU"/>
        </w:rPr>
        <w:t>январе-сентябре</w:t>
      </w:r>
      <w:r w:rsidRPr="009A3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на рынке труда Ленинградской области сохранялась стабильная ситуация. Начиная с апреля текущего года, наметилась тенденция постепенного снижения безработицы.</w:t>
      </w:r>
    </w:p>
    <w:p w:rsidR="007F6B41" w:rsidRPr="009A32F4" w:rsidRDefault="007F6B41" w:rsidP="00336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Безработица сокра</w:t>
      </w:r>
      <w:r w:rsidR="00A77F0D" w:rsidRPr="009A32F4">
        <w:rPr>
          <w:rFonts w:ascii="Times New Roman" w:eastAsia="Times New Roman" w:hAnsi="Times New Roman" w:cs="Times New Roman"/>
          <w:sz w:val="24"/>
          <w:szCs w:val="20"/>
          <w:lang w:eastAsia="ru-RU"/>
        </w:rPr>
        <w:t>тилась</w:t>
      </w:r>
      <w:r w:rsidRPr="009A3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 к началу текущего года, так и к соответст</w:t>
      </w:r>
      <w:r w:rsidR="00A77F0D" w:rsidRPr="009A32F4">
        <w:rPr>
          <w:rFonts w:ascii="Times New Roman" w:eastAsia="Times New Roman" w:hAnsi="Times New Roman" w:cs="Times New Roman"/>
          <w:sz w:val="24"/>
          <w:szCs w:val="20"/>
          <w:lang w:eastAsia="ru-RU"/>
        </w:rPr>
        <w:t>вующему периоду                 2016 года</w:t>
      </w:r>
      <w:r w:rsidRPr="009A32F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B4A3D" w:rsidRPr="009A32F4" w:rsidRDefault="00AB4A3D" w:rsidP="00F5577B">
      <w:pPr>
        <w:pStyle w:val="21"/>
      </w:pPr>
      <w:r w:rsidRPr="009A32F4">
        <w:tab/>
      </w:r>
      <w:r w:rsidRPr="009A32F4">
        <w:rPr>
          <w:iCs/>
        </w:rPr>
        <w:t xml:space="preserve">Поддержанию стабильной ситуации </w:t>
      </w:r>
      <w:r w:rsidR="003D49E1" w:rsidRPr="009A32F4">
        <w:rPr>
          <w:iCs/>
        </w:rPr>
        <w:t xml:space="preserve">и недопущению резкого роста безработицы </w:t>
      </w:r>
      <w:r w:rsidRPr="009A32F4">
        <w:rPr>
          <w:iCs/>
        </w:rPr>
        <w:t>на рынке труда Ленинградской области</w:t>
      </w:r>
      <w:r w:rsidR="003D49E1" w:rsidRPr="009A32F4">
        <w:rPr>
          <w:iCs/>
        </w:rPr>
        <w:t xml:space="preserve"> </w:t>
      </w:r>
      <w:r w:rsidRPr="009A32F4">
        <w:rPr>
          <w:iCs/>
        </w:rPr>
        <w:t xml:space="preserve">способствовала </w:t>
      </w:r>
      <w:r w:rsidRPr="009A32F4">
        <w:t xml:space="preserve">реализация </w:t>
      </w:r>
      <w:r w:rsidR="002976AA" w:rsidRPr="009A32F4">
        <w:t xml:space="preserve">мероприятий </w:t>
      </w:r>
      <w:r w:rsidR="00A67216" w:rsidRPr="009A32F4">
        <w:t>Г</w:t>
      </w:r>
      <w:r w:rsidRPr="009A32F4">
        <w:t>осударственной программы Ленинградской области «Содействие занятости населения Ленинградской области»</w:t>
      </w:r>
      <w:r w:rsidR="00A67216" w:rsidRPr="009A32F4">
        <w:t xml:space="preserve"> (далее – госпрограмма) </w:t>
      </w:r>
      <w:r w:rsidRPr="009A32F4">
        <w:t xml:space="preserve">(утверждена постановлением Правительства Ленинградской области </w:t>
      </w:r>
      <w:r w:rsidR="0055041E" w:rsidRPr="009A32F4">
        <w:t xml:space="preserve">                 </w:t>
      </w:r>
      <w:r w:rsidRPr="009A32F4">
        <w:t>от 7 декабря 2015 года № 466).</w:t>
      </w:r>
    </w:p>
    <w:p w:rsidR="00B7440E" w:rsidRPr="009A32F4" w:rsidRDefault="00336299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</w:t>
      </w:r>
      <w:r w:rsidR="00B744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Ленинградская область продолжала сохранять среди субъектов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744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позицию региона с низким уровнем регистрируемой безработицы. </w:t>
      </w:r>
    </w:p>
    <w:p w:rsidR="00B7440E" w:rsidRPr="009A32F4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</w:t>
      </w:r>
      <w:r w:rsidR="003208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гражданами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5B4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71035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3208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40E" w:rsidRPr="009A32F4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40E" w:rsidRPr="009A32F4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</w:t>
      </w:r>
      <w:r w:rsidR="005025B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22893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208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9A32F4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3208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1193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2319D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9A32F4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B676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1070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9A32F4" w:rsidRDefault="005025BB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676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="00B744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9A32F4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информированию о положении на рынке труда </w:t>
      </w:r>
      <w:r w:rsidR="005025B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9D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76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9635</w:t>
      </w:r>
      <w:r w:rsidR="002319D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676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3240</w:t>
      </w:r>
      <w:r w:rsidR="002319D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5B4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CB17C8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B062F" w:rsidRPr="009A32F4" w:rsidRDefault="00AB4A3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9B0CC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в службу занятости за содействием в поиске подходящей работы </w:t>
      </w:r>
      <w:r w:rsidR="009B0CC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23334</w:t>
      </w:r>
      <w:r w:rsidR="00932F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B0CC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F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9B0CC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932F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</w:t>
      </w:r>
      <w:r w:rsidR="00F557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</w:t>
      </w:r>
      <w:r w:rsidR="002319D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9B0CC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2F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F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91D" w:rsidRPr="009A32F4" w:rsidRDefault="00E1791D" w:rsidP="00E179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5B062F" w:rsidRPr="009A32F4" w:rsidRDefault="00F47756" w:rsidP="00E1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области, работавшие в 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 и других регионах, и уволенные</w:t>
      </w:r>
      <w:r w:rsidR="00C151C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причинам. С начала 201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5B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2426</w:t>
      </w:r>
      <w:r w:rsidR="006C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жителей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</w:t>
      </w:r>
      <w:r w:rsidR="0023563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151C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57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</w:t>
      </w:r>
      <w:r w:rsidR="0023563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="00ED242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</w:t>
      </w:r>
      <w:r w:rsidR="0023563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23563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20F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74A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2813</w:t>
      </w:r>
      <w:r w:rsidR="005025B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D242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62F" w:rsidRPr="009A32F4" w:rsidRDefault="005B4D21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в связи с ликвидацией организации, либо сокращением численности или штата работников организации, </w:t>
      </w:r>
      <w:r w:rsidR="00C151C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2549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10,9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ьше, чем в </w:t>
      </w:r>
      <w:r w:rsidR="00811AE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024F5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811AE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4D6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F4D6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F4D6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841F3" w:rsidRPr="009A32F4" w:rsidRDefault="00E1791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в наибольшей степени испытывали трудности в </w:t>
      </w:r>
      <w:r w:rsidR="003841F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поиске работы, </w:t>
      </w:r>
      <w:r w:rsidR="005B4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3841F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791D" w:rsidRPr="009A32F4" w:rsidRDefault="00D3494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1307</w:t>
      </w:r>
      <w:r w:rsidR="00E1791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CF4D6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41F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  <w:proofErr w:type="gramEnd"/>
    </w:p>
    <w:p w:rsidR="00EB3863" w:rsidRPr="009A32F4" w:rsidRDefault="00D3494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1373</w:t>
      </w:r>
      <w:r w:rsidR="00CF4D6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B4D21" w:rsidRPr="009A32F4" w:rsidRDefault="00D3494D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3076</w:t>
      </w:r>
      <w:r w:rsidR="00C151C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D242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72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</w:t>
      </w:r>
      <w:r w:rsidR="0056272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возобновить трудовую деятельность после длительного (более года) перерыва</w:t>
      </w:r>
      <w:r w:rsidR="00ED242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41F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5B4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863" w:rsidRPr="009A32F4" w:rsidRDefault="00D3494D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2873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имеющего</w:t>
      </w:r>
      <w:r w:rsidR="0056272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</w:t>
      </w:r>
      <w:r w:rsidR="005B4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12,3</w:t>
      </w:r>
      <w:r w:rsidR="0056272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C15A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B4A3D" w:rsidRPr="009A32F4" w:rsidRDefault="00C151CC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обратившихся в поиске подходящей работы</w:t>
      </w:r>
      <w:r w:rsidR="00B9439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49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23334</w:t>
      </w:r>
      <w:r w:rsidR="00B9439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349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39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9A32F4" w:rsidRDefault="00AB4A3D" w:rsidP="00AB4A3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</w:t>
      </w:r>
      <w:r w:rsidR="00F47F8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–</w:t>
      </w:r>
      <w:r w:rsidR="00C151C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9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59,9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545D5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D349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18D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32C0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349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59,3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9A32F4" w:rsidRDefault="00545D51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49,9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A6745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C32C0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32C0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32C0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6745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50,5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613B3" w:rsidRPr="009A32F4" w:rsidRDefault="00FF5447" w:rsidP="00FF544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6C4D8" wp14:editId="56EA554E">
                <wp:simplePos x="0" y="0"/>
                <wp:positionH relativeFrom="column">
                  <wp:posOffset>170815</wp:posOffset>
                </wp:positionH>
                <wp:positionV relativeFrom="paragraph">
                  <wp:posOffset>377825</wp:posOffset>
                </wp:positionV>
                <wp:extent cx="5997575" cy="1256030"/>
                <wp:effectExtent l="38100" t="38100" r="117475" b="11557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2C6" w:rsidRPr="005F023C" w:rsidRDefault="006C72C6" w:rsidP="005F023C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F023C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октября 2017 года на учете в службе занятости населения состояли 5256 человек, ищущих работу:</w:t>
                            </w:r>
                          </w:p>
                          <w:p w:rsidR="006C72C6" w:rsidRPr="005F023C" w:rsidRDefault="006C72C6" w:rsidP="005F023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C72C6" w:rsidRPr="009A32F4" w:rsidRDefault="006C72C6" w:rsidP="005F023C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A32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76 человек меньше, чем на 1 января 2017 года;</w:t>
                            </w:r>
                          </w:p>
                          <w:p w:rsidR="006C72C6" w:rsidRPr="009A32F4" w:rsidRDefault="006C72C6" w:rsidP="005F023C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A32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8 человек меньше, чем на 1 сентября 2017 года;</w:t>
                            </w:r>
                          </w:p>
                          <w:p w:rsidR="006C72C6" w:rsidRPr="009A32F4" w:rsidRDefault="006C72C6" w:rsidP="005F023C">
                            <w:pPr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A32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 203 человека меньше, чем на 1 октября 2016 года </w:t>
                            </w:r>
                          </w:p>
                          <w:p w:rsidR="006C72C6" w:rsidRPr="005F023C" w:rsidRDefault="006C72C6" w:rsidP="001613B3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</w:rPr>
                            </w:pPr>
                          </w:p>
                          <w:p w:rsidR="006C72C6" w:rsidRDefault="006C7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13.45pt;margin-top:29.75pt;width:472.25pt;height:9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C72C6" w:rsidRPr="005F023C" w:rsidRDefault="006C72C6" w:rsidP="005F023C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F023C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октября 2017 года на учете в службе занятости населения состояли 5256 человек, ищущих работу:</w:t>
                      </w:r>
                    </w:p>
                    <w:p w:rsidR="006C72C6" w:rsidRPr="005F023C" w:rsidRDefault="006C72C6" w:rsidP="005F023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C72C6" w:rsidRPr="009A32F4" w:rsidRDefault="006C72C6" w:rsidP="005F023C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A32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76 человек меньше, чем на 1 января 2017 года;</w:t>
                      </w:r>
                    </w:p>
                    <w:p w:rsidR="006C72C6" w:rsidRPr="009A32F4" w:rsidRDefault="006C72C6" w:rsidP="005F023C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A32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8 человек меньше, чем на 1 сентября 2017 года;</w:t>
                      </w:r>
                    </w:p>
                    <w:p w:rsidR="006C72C6" w:rsidRPr="009A32F4" w:rsidRDefault="006C72C6" w:rsidP="005F023C">
                      <w:pPr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A32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 203 человека меньше, чем на 1 октября 2016 года </w:t>
                      </w:r>
                    </w:p>
                    <w:p w:rsidR="006C72C6" w:rsidRPr="005F023C" w:rsidRDefault="006C72C6" w:rsidP="001613B3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</w:rPr>
                      </w:pPr>
                    </w:p>
                    <w:p w:rsidR="006C72C6" w:rsidRDefault="006C72C6"/>
                  </w:txbxContent>
                </v:textbox>
                <w10:wrap type="square"/>
              </v:shape>
            </w:pict>
          </mc:Fallback>
        </mc:AlternateConten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r w:rsidR="00F47F8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 </w:t>
      </w:r>
      <w:r w:rsidR="00C151C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5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53,7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720FB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A6745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 </w:t>
      </w:r>
      <w:r w:rsidR="003F45F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F45F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D04D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55,3</w:t>
      </w:r>
      <w:r w:rsidR="0056272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A77F0D" w:rsidRDefault="00AB4A3D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77F0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:rsidR="009D5AC5" w:rsidRPr="009A32F4" w:rsidRDefault="009D5AC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573C" w:rsidRPr="009A32F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73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2E5A0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505CB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73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973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безработными </w:t>
      </w:r>
      <w:r w:rsidR="002E5A0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7491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9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E5A0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804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E5A0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 </w:t>
      </w:r>
      <w:r w:rsidR="00505CB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2E5A0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D973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73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973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5A0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8295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AB4A3D" w:rsidRPr="009A32F4" w:rsidRDefault="002E5A08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D973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поставлено от </w:t>
      </w:r>
      <w:r w:rsidR="00505CB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1E1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1E1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(2</w:t>
      </w:r>
      <w:r w:rsidR="00025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5CB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E51E1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788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 Гатчинском муниципальном районе (1</w:t>
      </w:r>
      <w:r w:rsidR="00E51E1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9A32F4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63157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8026</w:t>
      </w:r>
      <w:r w:rsidR="00AE7FE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63157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A45E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с:</w:t>
      </w:r>
    </w:p>
    <w:p w:rsidR="00AB4A3D" w:rsidRPr="009A32F4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F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3895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(4</w:t>
      </w:r>
      <w:r w:rsidR="00213F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FE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8040B" w:rsidRPr="009A32F4" w:rsidRDefault="0088040B" w:rsidP="008804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F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1186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213F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2EB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F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9A32F4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213F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2945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(3</w:t>
      </w:r>
      <w:r w:rsidR="00AE7FE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F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Default="006C15E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224FC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E3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68A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безработных граждан, зарегистрированных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7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занятости</w:t>
      </w:r>
      <w:r w:rsidR="00EE375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B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2E3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548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214C4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1035B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201</w:t>
      </w:r>
      <w:r w:rsidR="00224FC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224FC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063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24FC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35B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035B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="00214C4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374</w:t>
      </w:r>
      <w:r w:rsidR="00224FC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1035B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214C4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35B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 начале </w:t>
      </w:r>
      <w:r w:rsidR="00214C4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035B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(</w:t>
      </w:r>
      <w:r w:rsidR="00214C4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3922</w:t>
      </w:r>
      <w:r w:rsidR="001035B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14C4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4FC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68A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E5F" w:rsidRPr="009A32F4" w:rsidRDefault="000E5E5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F8" w:rsidRPr="00AC2BB0" w:rsidRDefault="007C60F8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AB4A3D" w:rsidRPr="00AC2BB0" w:rsidRDefault="001C0CA9" w:rsidP="001C0C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12ED1" wp14:editId="6A4F91C2">
            <wp:extent cx="6743700" cy="3505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BB0" w:rsidRPr="00AC2BB0" w:rsidRDefault="00AC2BB0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9A32F4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безработных граждан к </w:t>
      </w:r>
      <w:r w:rsidR="00A45EC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началу </w:t>
      </w:r>
      <w:r w:rsidR="00474C1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224FC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81E5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</w:t>
      </w:r>
      <w:r w:rsidR="007375F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началом </w:t>
      </w:r>
      <w:r w:rsidR="007375F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6272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24FC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отмечено в</w:t>
      </w:r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Бокситогорском, </w:t>
      </w:r>
      <w:proofErr w:type="spellStart"/>
      <w:r w:rsidR="00474C1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="00474C1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Волховском</w:t>
      </w:r>
      <w:proofErr w:type="spellEnd"/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Всеволожском, </w:t>
      </w:r>
      <w:r w:rsidR="00474C1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Гатчинском, </w:t>
      </w:r>
      <w:proofErr w:type="spellStart"/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Кингисеппском</w:t>
      </w:r>
      <w:proofErr w:type="spellEnd"/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Киришском</w:t>
      </w:r>
      <w:proofErr w:type="spellEnd"/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Кировском, </w:t>
      </w:r>
      <w:proofErr w:type="spellStart"/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Лодейнопольском</w:t>
      </w:r>
      <w:proofErr w:type="spellEnd"/>
      <w:r w:rsidR="008254F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Ломоносовском, </w:t>
      </w:r>
      <w:proofErr w:type="spellStart"/>
      <w:r w:rsidR="00FE605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</w:t>
      </w:r>
      <w:proofErr w:type="spellEnd"/>
      <w:r w:rsidR="00FE605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E605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Подпорожском</w:t>
      </w:r>
      <w:proofErr w:type="spellEnd"/>
      <w:r w:rsidR="00FE605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E605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Сланцевском</w:t>
      </w:r>
      <w:proofErr w:type="spellEnd"/>
      <w:r w:rsidR="00FE605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Тихвинском муниципальных районах и Сосновоборском городском округе. </w:t>
      </w:r>
      <w:r w:rsidR="00A8474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A2129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езначительное</w:t>
      </w:r>
      <w:r w:rsidR="00C151C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</w:t>
      </w:r>
      <w:r w:rsidR="00CA3069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наблюдалось в </w:t>
      </w:r>
      <w:r w:rsidR="00AC2BB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Выборгском, Приозерском, </w:t>
      </w:r>
      <w:proofErr w:type="spellStart"/>
      <w:r w:rsidR="00AC2BB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Тосненском</w:t>
      </w:r>
      <w:proofErr w:type="spellEnd"/>
      <w:r w:rsidR="0050678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605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районах</w:t>
      </w:r>
      <w:r w:rsidR="0050678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5025BB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DD2A8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Состав безработных граждан </w:t>
      </w:r>
    </w:p>
    <w:p w:rsidR="00AB4A3D" w:rsidRPr="00FF5447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октября 2017 года (3548 человек):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осуществлявших трудовую деятельность – 3284 человека (92,6%), из них: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A32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причинам прекращения трудовой деятельности:</w:t>
      </w:r>
      <w:proofErr w:type="gramEnd"/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собственному желанию – 1661 человек (50,6%);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– 334 человека (10,2%);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812 человек (24,7%);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с государственной службы – 48 человек (1,5%).</w:t>
      </w:r>
      <w:proofErr w:type="gramEnd"/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A32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профессионально-квалификационному составу: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работавшие по профессии рабочего – 1799 человек (54,8%);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работавшие на должности служащего – 1485 человек (45,2%);</w:t>
      </w:r>
      <w:proofErr w:type="gramEnd"/>
    </w:p>
    <w:p w:rsidR="00493F92" w:rsidRPr="00493F92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93F9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Из 3548 безработных граждан: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A32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возрасту: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лет – 9 человек (0,2%);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18-19 лет – 98 человек (2,8%);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20-24 года – 205 человек (5,8%);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25-29 лет – 255 человек (7,2%);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30-49 лет – 1820 человек (51,3%);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и старше – 1161 человек (32,7%);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A32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образованию: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– 1069 человек (30,1%);</w:t>
      </w:r>
    </w:p>
    <w:p w:rsidR="00493F92" w:rsidRPr="009A32F4" w:rsidRDefault="00493F92" w:rsidP="00493F9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проф. образование – 1521 человек (42,9%);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– 520 человек (14,7%);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374 человека (10,5%);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имеющие основного общего образования – 64 человека (1,8%);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A32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отдельным категориям граждан:</w:t>
      </w:r>
    </w:p>
    <w:p w:rsidR="00493F92" w:rsidRPr="009A32F4" w:rsidRDefault="00493F92" w:rsidP="0049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791 человек (22,3%);</w:t>
      </w:r>
    </w:p>
    <w:p w:rsidR="00493F92" w:rsidRPr="009A32F4" w:rsidRDefault="00493F92" w:rsidP="0049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532 человека (15%);</w:t>
      </w:r>
    </w:p>
    <w:p w:rsidR="006C72C6" w:rsidRPr="009A32F4" w:rsidRDefault="006C72C6" w:rsidP="006C7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484 человека (13,6%);</w:t>
      </w:r>
    </w:p>
    <w:p w:rsidR="00493F92" w:rsidRPr="009A32F4" w:rsidRDefault="00493F92" w:rsidP="00493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465 человек (13,1%);</w:t>
      </w:r>
    </w:p>
    <w:p w:rsidR="00493F92" w:rsidRPr="009A32F4" w:rsidRDefault="00493F92" w:rsidP="0049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впервые ищущих работу (ранее не работавших), – 264 человека (7,4%).</w:t>
      </w:r>
    </w:p>
    <w:p w:rsidR="000E5E5F" w:rsidRPr="000E5E5F" w:rsidRDefault="000E5E5F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B054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:rsidR="000E5E5F" w:rsidRPr="000E5E5F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1021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955"/>
        <w:gridCol w:w="51"/>
        <w:gridCol w:w="576"/>
        <w:gridCol w:w="864"/>
        <w:gridCol w:w="81"/>
        <w:gridCol w:w="639"/>
        <w:gridCol w:w="863"/>
        <w:gridCol w:w="269"/>
        <w:gridCol w:w="595"/>
        <w:gridCol w:w="863"/>
      </w:tblGrid>
      <w:tr w:rsidR="00AB4A3D" w:rsidRPr="00AB4A3D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молодежь в</w:t>
            </w:r>
          </w:p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310D8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310D8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310D8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310D8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310D8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6347A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2017</w:t>
            </w:r>
            <w:r w:rsidR="00AB4A3D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3D49E1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1007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F6E70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F6E70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8 </w:t>
            </w:r>
            <w:r w:rsidR="00AF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месяцев </w:t>
            </w: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AB4A3D" w:rsidRPr="00AB4A3D" w:rsidTr="00E03812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AF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0561BA" w:rsidRDefault="000561B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194017" w:rsidRDefault="00194017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B4A3D" w:rsidRPr="00AB4A3D" w:rsidTr="00FE0BA2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AF6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редняя продолжительность</w:t>
            </w:r>
            <w:r w:rsidRPr="00AB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безработицы</w:t>
            </w:r>
            <w:r w:rsidR="00AF6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EB4F88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0561BA" w:rsidRDefault="000561BA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0561BA" w:rsidRDefault="000561BA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194017" w:rsidRDefault="00194017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952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194017" w:rsidRDefault="00194017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194017" w:rsidRDefault="00194017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0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4,8</w:t>
            </w:r>
          </w:p>
        </w:tc>
      </w:tr>
    </w:tbl>
    <w:p w:rsidR="00F76047" w:rsidRPr="0070659A" w:rsidRDefault="00F7604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43BC" w:rsidRPr="000E5E5F" w:rsidRDefault="00FE3BDD" w:rsidP="008D7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периода безработицы в целом по Ленинградской области           к началу октября 2017 года незначительно увеличилась - до 4,6 месяца (в нача</w:t>
      </w:r>
      <w:r w:rsidR="000E5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текущего года - 4,3 месяца).</w:t>
      </w: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D352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7E32C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A32F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2A61E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9162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47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E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значение 0,36</w:t>
      </w:r>
      <w:r w:rsidR="0046289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89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0,0</w:t>
      </w:r>
      <w:r w:rsidR="002A61E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 (</w:t>
      </w:r>
      <w:r w:rsidR="00DA47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/п)</w:t>
      </w:r>
      <w:r w:rsidR="0046289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начале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5275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(0,4</w:t>
      </w:r>
      <w:r w:rsidR="0095275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C842B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7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A61E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0,04</w:t>
      </w:r>
      <w:r w:rsidR="00C842B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п/п </w:t>
      </w:r>
      <w:r w:rsidR="0046289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чем</w:t>
      </w:r>
      <w:r w:rsidR="002A61E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01.10</w:t>
      </w:r>
      <w:r w:rsidR="009C514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 (0,4</w:t>
      </w:r>
      <w:r w:rsidR="002A61E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514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DA47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835" w:rsidRPr="009A32F4" w:rsidRDefault="00F47835" w:rsidP="00F478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октября 2017 года – 0,36%, по территориям этот показатель имел значение: от 0,19% во Всеволожском муниципальном районе до 0,90% в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F00746" w:rsidRPr="009A32F4" w:rsidRDefault="001C2908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</w:t>
      </w:r>
      <w:r w:rsidR="001524D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22EA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B6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0074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A1B" w:rsidRPr="009A32F4" w:rsidRDefault="00AF7F71" w:rsidP="00AF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регистрируемой безработицы отмечено в </w:t>
      </w:r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Бокситогорском, </w:t>
      </w:r>
      <w:proofErr w:type="spellStart"/>
      <w:r w:rsidR="00D26C9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="00D26C9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Всеволожском, </w:t>
      </w:r>
      <w:r w:rsidR="00D26C9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Гатчинском, </w:t>
      </w:r>
      <w:proofErr w:type="spellStart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Кировском, </w:t>
      </w:r>
      <w:proofErr w:type="spellStart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</w:t>
      </w:r>
      <w:proofErr w:type="spellStart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Тихвинском муниципальных районах </w:t>
      </w:r>
      <w:r w:rsidR="00D26C9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13A1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Сосновоборском городском округе;</w:t>
      </w:r>
    </w:p>
    <w:p w:rsidR="001524DA" w:rsidRPr="009A32F4" w:rsidRDefault="00AF7F71" w:rsidP="00AF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незначительное</w:t>
      </w:r>
      <w:r w:rsid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регистрируемой безработицы отмечено                                       в</w:t>
      </w:r>
      <w:r w:rsidR="00D6422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422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Выборгском</w:t>
      </w:r>
      <w:proofErr w:type="gramEnd"/>
      <w:r w:rsidR="00D6422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Приозерском, </w:t>
      </w:r>
      <w:proofErr w:type="spellStart"/>
      <w:r w:rsidR="00D6422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D6422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</w:t>
      </w:r>
      <w:r w:rsidR="001524D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02A" w:rsidRPr="009A32F4" w:rsidRDefault="001524DA" w:rsidP="00D2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изменился в Кингисеппском муниципальном районе</w:t>
      </w:r>
      <w:r w:rsidR="00D6422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3EA" w:rsidRPr="009A32F4" w:rsidRDefault="00D943EA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9F2781" w:rsidRPr="009A32F4" w:rsidRDefault="009F2781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97283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только в Ленинградской</w:t>
      </w:r>
      <w:r w:rsidR="0097283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83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Липецкой, Нижегородской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г. Москве этот показатель – 0,4%, в Санкт-Петербурге</w:t>
      </w:r>
      <w:r w:rsidR="009A179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0,3</w:t>
      </w:r>
      <w:r w:rsidR="009A179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г. Севастополе – 0,2%.</w:t>
      </w:r>
    </w:p>
    <w:p w:rsidR="00AB4A3D" w:rsidRPr="00AB4A3D" w:rsidRDefault="00AB4A3D" w:rsidP="000731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5DCA" w:rsidRDefault="00F00746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7F2">
        <w:rPr>
          <w:noProof/>
          <w:lang w:eastAsia="ru-RU"/>
        </w:rPr>
        <w:drawing>
          <wp:inline distT="0" distB="0" distL="0" distR="0" wp14:anchorId="7B919820" wp14:editId="7810E4FD">
            <wp:extent cx="6305385" cy="3753016"/>
            <wp:effectExtent l="0" t="0" r="1968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525" w:rsidRDefault="000F452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A32F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032D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январе-сентябре</w:t>
      </w:r>
      <w:r w:rsidR="00F3607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 w:rsidR="00DA47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F3607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 о потребности в рабочей силе и подбора необходимых кадров, оставалось одним </w:t>
      </w:r>
      <w:r w:rsidR="00FD10E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важных направлений деятельности службы занятости. </w:t>
      </w:r>
    </w:p>
    <w:p w:rsidR="00AB4A3D" w:rsidRPr="009A32F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заявкам работодателей, в соответствии </w:t>
      </w:r>
      <w:r w:rsidR="00DA47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их критериями осуществлялся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работников нужной профессии и квалификации.</w:t>
      </w:r>
    </w:p>
    <w:p w:rsidR="00AB4A3D" w:rsidRPr="009A32F4" w:rsidRDefault="00A032D4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F360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работодателями: </w:t>
      </w:r>
    </w:p>
    <w:p w:rsidR="00AB4A3D" w:rsidRPr="009A32F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A032D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66219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9309F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A47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9309F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947" w:rsidRPr="009A32F4" w:rsidRDefault="00AB4A3D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учета по различным причинам, в том числе в связи с трудоустройством</w:t>
      </w:r>
      <w:r w:rsidR="0070659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309F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граждан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59662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947" w:rsidRPr="009A32F4" w:rsidRDefault="00B47947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B47947" w:rsidRPr="009A32F4" w:rsidRDefault="00A45413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11353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17,1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</w:t>
      </w:r>
      <w:r w:rsidR="008D76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</w:t>
      </w:r>
      <w:r w:rsidR="009711B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организациями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формы собственности;</w:t>
      </w:r>
    </w:p>
    <w:p w:rsidR="00B47947" w:rsidRPr="009A32F4" w:rsidRDefault="00A45413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10850 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</w:t>
      </w:r>
      <w:r w:rsidR="00F360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09F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60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9309F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– муниципальной формы собственности;</w:t>
      </w:r>
    </w:p>
    <w:p w:rsidR="00B47947" w:rsidRPr="009A32F4" w:rsidRDefault="00A45413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44016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66,5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</w:t>
      </w:r>
      <w:r w:rsidR="009711B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</w:t>
      </w:r>
      <w:r w:rsidR="00B4794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AB4A3D" w:rsidRPr="009A32F4" w:rsidRDefault="0085122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7787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21671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что на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6557</w:t>
      </w:r>
      <w:r w:rsidR="009309F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вакансий больше, чем в начале 201</w:t>
      </w:r>
      <w:r w:rsidR="00F360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F360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15114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F360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704" w:rsidRPr="009A32F4" w:rsidRDefault="00EF634D" w:rsidP="009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территориям заявленные вакансии распределились следующим образом</w:t>
      </w:r>
      <w:r w:rsidR="0091070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91070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070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(1,1% от текущего спроса на рабочую силу) в </w:t>
      </w:r>
      <w:proofErr w:type="spellStart"/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70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районе </w:t>
      </w:r>
      <w:r w:rsidR="00FD10E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1070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3450</w:t>
      </w:r>
      <w:r w:rsidR="0091070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(15,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070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во Всеволожском муниципальном районе. </w:t>
      </w:r>
    </w:p>
    <w:p w:rsidR="00AB4A3D" w:rsidRPr="00E56321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</w:p>
    <w:p w:rsidR="00AB4A3D" w:rsidRPr="006C2570" w:rsidRDefault="00DD4952" w:rsidP="00DD49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1FC0A9" wp14:editId="0336BB9F">
            <wp:extent cx="6429375" cy="40576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4A3D" w:rsidRPr="006C2570" w:rsidRDefault="00AB4A3D" w:rsidP="00AB4A3D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p w:rsidR="00AB4A3D" w:rsidRPr="00E56321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</w:p>
    <w:p w:rsidR="00A45413" w:rsidRPr="009A32F4" w:rsidRDefault="00AB4A3D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66556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1671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ваканси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(текущий спрос)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трудоустройства рабочих предлагались 14547 вакансий (67,1%), для инженерно-технических работников</w:t>
      </w:r>
      <w:r w:rsidR="000E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 – 7124 вакансии (32,9%).</w:t>
      </w:r>
    </w:p>
    <w:p w:rsidR="00A45413" w:rsidRPr="009A32F4" w:rsidRDefault="001D7FD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ибольшую потребность в кадрах испытывала сфера «строительство» –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41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4882 вакансии (22,5% от общего числа вакансий – 21671 единица), далее по видам экономической деятельности: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3453 вакансии (15,9%);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2884 вакансии (13,3%);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1513 вакансий (7,1%);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1499 вакансий (6,9%);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1437 вакансий (6,6%);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1420 вакансий (6,7%);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1046 вакансий (4,8%);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853 вакансии (3,9%);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547 вакансий (2,5%);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438 вакансий (2%);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303 вакансии (1,4%);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287 вакансий (1,3%);</w:t>
      </w:r>
    </w:p>
    <w:p w:rsidR="00A45413" w:rsidRPr="009A32F4" w:rsidRDefault="00A45413" w:rsidP="00A4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285 вакансий (1,3%) и т.д.</w:t>
      </w:r>
    </w:p>
    <w:p w:rsidR="008B3711" w:rsidRPr="009A32F4" w:rsidRDefault="008B3711" w:rsidP="008B3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7911 вакансий (36,5% от текущего спроса на рабочую силу). Предложение рабочей силы по этой группе профессий в 6,2 раза меньше спроса. </w:t>
      </w:r>
    </w:p>
    <w:tbl>
      <w:tblPr>
        <w:tblStyle w:val="-1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9A32F4" w:rsidRPr="009A32F4" w:rsidTr="0095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водитель – 1131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– 357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токарь – 146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монтажник – 968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маляр, штукатур – 344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электромонтажник – 123</w:t>
            </w:r>
          </w:p>
        </w:tc>
      </w:tr>
      <w:tr w:rsidR="009A32F4" w:rsidRPr="009A32F4" w:rsidTr="00957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швея – 808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сварщик – 314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тракторист – 101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машинист – 752</w:t>
            </w:r>
          </w:p>
        </w:tc>
        <w:tc>
          <w:tcPr>
            <w:tcW w:w="3827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электрик, электромонтер – 291</w:t>
            </w:r>
          </w:p>
        </w:tc>
        <w:tc>
          <w:tcPr>
            <w:tcW w:w="2835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101</w:t>
            </w:r>
          </w:p>
        </w:tc>
      </w:tr>
      <w:tr w:rsidR="009A32F4" w:rsidRPr="009A32F4" w:rsidTr="00957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слесарь – 732</w:t>
            </w:r>
          </w:p>
        </w:tc>
        <w:tc>
          <w:tcPr>
            <w:tcW w:w="3827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продавец – 281</w:t>
            </w:r>
          </w:p>
        </w:tc>
        <w:tc>
          <w:tcPr>
            <w:tcW w:w="2835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стропальщик – 71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оператор – 483</w:t>
            </w:r>
          </w:p>
        </w:tc>
        <w:tc>
          <w:tcPr>
            <w:tcW w:w="3827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плотник – 235</w:t>
            </w:r>
          </w:p>
        </w:tc>
        <w:tc>
          <w:tcPr>
            <w:tcW w:w="2835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станочник – 61</w:t>
            </w:r>
          </w:p>
        </w:tc>
      </w:tr>
      <w:tr w:rsidR="009A32F4" w:rsidRPr="009A32F4" w:rsidTr="00957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каменщик – 382</w:t>
            </w:r>
          </w:p>
        </w:tc>
        <w:tc>
          <w:tcPr>
            <w:tcW w:w="3827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повар – 230</w:t>
            </w:r>
          </w:p>
        </w:tc>
        <w:tc>
          <w:tcPr>
            <w:tcW w:w="2835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B3711" w:rsidRPr="009A32F4" w:rsidRDefault="008B3711" w:rsidP="008B3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4944 вакансии (22,8% от текущего спроса на рабочую силу). Предложение рабочей силы по этой группе профессий в 5,5 раза меньше спроса.</w:t>
      </w:r>
    </w:p>
    <w:tbl>
      <w:tblPr>
        <w:tblStyle w:val="-11"/>
        <w:tblW w:w="10251" w:type="dxa"/>
        <w:tblInd w:w="108" w:type="dxa"/>
        <w:tblLook w:val="04A0" w:firstRow="1" w:lastRow="0" w:firstColumn="1" w:lastColumn="0" w:noHBand="0" w:noVBand="1"/>
      </w:tblPr>
      <w:tblGrid>
        <w:gridCol w:w="3402"/>
        <w:gridCol w:w="4536"/>
        <w:gridCol w:w="2313"/>
      </w:tblGrid>
      <w:tr w:rsidR="009A32F4" w:rsidRPr="009A32F4" w:rsidTr="0095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1044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фельдшер – 193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8B3711" w:rsidRPr="009A32F4" w:rsidRDefault="008B3711" w:rsidP="008B3711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воспитатель – 118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врач – 618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кассир – 188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85</w:t>
            </w:r>
          </w:p>
        </w:tc>
      </w:tr>
      <w:tr w:rsidR="009A32F4" w:rsidRPr="009A32F4" w:rsidTr="00957E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инженер – 602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механик – 185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84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425</w:t>
            </w:r>
          </w:p>
        </w:tc>
        <w:tc>
          <w:tcPr>
            <w:tcW w:w="4536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полицейский (следователь) – 183</w:t>
            </w:r>
          </w:p>
        </w:tc>
        <w:tc>
          <w:tcPr>
            <w:tcW w:w="2313" w:type="dxa"/>
            <w:shd w:val="clear" w:color="auto" w:fill="FFFFFF" w:themeFill="background1"/>
          </w:tcPr>
          <w:p w:rsidR="008B3711" w:rsidRPr="009A32F4" w:rsidRDefault="008B3711" w:rsidP="008B371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 – 66</w:t>
            </w:r>
          </w:p>
        </w:tc>
      </w:tr>
      <w:tr w:rsidR="009A32F4" w:rsidRPr="009A32F4" w:rsidTr="00957E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агент – 231</w:t>
            </w:r>
          </w:p>
        </w:tc>
        <w:tc>
          <w:tcPr>
            <w:tcW w:w="4536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(преподаватель, учитель) – 175</w:t>
            </w:r>
          </w:p>
        </w:tc>
        <w:tc>
          <w:tcPr>
            <w:tcW w:w="2313" w:type="dxa"/>
            <w:shd w:val="clear" w:color="auto" w:fill="F3F7FB"/>
          </w:tcPr>
          <w:p w:rsidR="008B3711" w:rsidRPr="009A32F4" w:rsidRDefault="008B3711" w:rsidP="008B371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26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мастер – 215</w:t>
            </w:r>
          </w:p>
        </w:tc>
        <w:tc>
          <w:tcPr>
            <w:tcW w:w="4536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менеджер – 149</w:t>
            </w:r>
          </w:p>
        </w:tc>
        <w:tc>
          <w:tcPr>
            <w:tcW w:w="2313" w:type="dxa"/>
            <w:shd w:val="clear" w:color="auto" w:fill="FFFFFF" w:themeFill="background1"/>
          </w:tcPr>
          <w:p w:rsidR="008B3711" w:rsidRPr="009A32F4" w:rsidRDefault="008B3711" w:rsidP="008B371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22</w:t>
            </w:r>
          </w:p>
        </w:tc>
      </w:tr>
      <w:tr w:rsidR="009A32F4" w:rsidRPr="009A32F4" w:rsidTr="00957E5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техник – 205</w:t>
            </w:r>
          </w:p>
        </w:tc>
        <w:tc>
          <w:tcPr>
            <w:tcW w:w="4536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охранник – 130</w:t>
            </w:r>
          </w:p>
        </w:tc>
        <w:tc>
          <w:tcPr>
            <w:tcW w:w="2313" w:type="dxa"/>
            <w:shd w:val="clear" w:color="auto" w:fill="F3F7FB"/>
          </w:tcPr>
          <w:p w:rsidR="008B3711" w:rsidRPr="009A32F4" w:rsidRDefault="008B3711" w:rsidP="008B3711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B3711" w:rsidRPr="009A32F4" w:rsidRDefault="008B3711" w:rsidP="008B3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2612 вакансий (12,1% от текущего спроса на рабочую силу). Предложение рабочей силы по этой группе профессий в 3,6 раза меньше спроса.</w:t>
      </w:r>
    </w:p>
    <w:tbl>
      <w:tblPr>
        <w:tblStyle w:val="-1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9A32F4" w:rsidRPr="009A32F4" w:rsidTr="0095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1210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уборщик – 363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дворник – 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горничная – 21</w:t>
            </w:r>
          </w:p>
        </w:tc>
      </w:tr>
      <w:tr w:rsidR="009A32F4" w:rsidRPr="009A32F4" w:rsidTr="00957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укладчик (упаковщик) – 240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сортировщик – 49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18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грузчик – 169</w:t>
            </w:r>
          </w:p>
        </w:tc>
        <w:tc>
          <w:tcPr>
            <w:tcW w:w="3402" w:type="dxa"/>
            <w:shd w:val="clear" w:color="auto" w:fill="FFFFFF" w:themeFill="background1"/>
          </w:tcPr>
          <w:p w:rsidR="008B3711" w:rsidRPr="009A32F4" w:rsidRDefault="008B3711" w:rsidP="008B371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мойщик – 33</w:t>
            </w:r>
          </w:p>
        </w:tc>
        <w:tc>
          <w:tcPr>
            <w:tcW w:w="3118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помощник воспитателя – 14</w:t>
            </w:r>
          </w:p>
        </w:tc>
      </w:tr>
      <w:tr w:rsidR="009A32F4" w:rsidRPr="009A32F4" w:rsidTr="00957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монтер (пути) – 133</w:t>
            </w:r>
          </w:p>
        </w:tc>
        <w:tc>
          <w:tcPr>
            <w:tcW w:w="3402" w:type="dxa"/>
            <w:shd w:val="clear" w:color="auto" w:fill="F3F7FB"/>
          </w:tcPr>
          <w:p w:rsidR="008B3711" w:rsidRPr="009A32F4" w:rsidRDefault="008B3711" w:rsidP="008B371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30</w:t>
            </w:r>
          </w:p>
        </w:tc>
        <w:tc>
          <w:tcPr>
            <w:tcW w:w="3118" w:type="dxa"/>
            <w:shd w:val="clear" w:color="auto" w:fill="F3F7FB"/>
          </w:tcPr>
          <w:p w:rsidR="008B3711" w:rsidRPr="009A32F4" w:rsidRDefault="008B3711" w:rsidP="008B371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12</w:t>
            </w:r>
          </w:p>
        </w:tc>
      </w:tr>
      <w:tr w:rsidR="009A32F4" w:rsidRPr="009A32F4" w:rsidTr="0095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стрелок – 104</w:t>
            </w:r>
          </w:p>
        </w:tc>
        <w:tc>
          <w:tcPr>
            <w:tcW w:w="3402" w:type="dxa"/>
            <w:shd w:val="clear" w:color="auto" w:fill="FFFFFF" w:themeFill="background1"/>
          </w:tcPr>
          <w:p w:rsidR="008B3711" w:rsidRPr="009A32F4" w:rsidRDefault="008B3711" w:rsidP="008B371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животновод – 27</w:t>
            </w:r>
          </w:p>
        </w:tc>
        <w:tc>
          <w:tcPr>
            <w:tcW w:w="3118" w:type="dxa"/>
            <w:shd w:val="clear" w:color="auto" w:fill="FFFFFF" w:themeFill="background1"/>
          </w:tcPr>
          <w:p w:rsidR="008B3711" w:rsidRPr="009A32F4" w:rsidRDefault="008B3711" w:rsidP="008B371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A32F4" w:rsidRPr="009A32F4" w:rsidTr="00957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8B3711" w:rsidRPr="009A32F4" w:rsidRDefault="008B3711" w:rsidP="008B371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кладовщик – 96</w:t>
            </w:r>
          </w:p>
        </w:tc>
        <w:tc>
          <w:tcPr>
            <w:tcW w:w="3402" w:type="dxa"/>
            <w:shd w:val="clear" w:color="auto" w:fill="F3F7FB"/>
          </w:tcPr>
          <w:p w:rsidR="008B3711" w:rsidRPr="009A32F4" w:rsidRDefault="008B3711" w:rsidP="008B371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сторож (вахтер) – 25</w:t>
            </w:r>
          </w:p>
        </w:tc>
        <w:tc>
          <w:tcPr>
            <w:tcW w:w="3118" w:type="dxa"/>
            <w:shd w:val="clear" w:color="auto" w:fill="F3F7FB"/>
          </w:tcPr>
          <w:p w:rsidR="008B3711" w:rsidRPr="009A32F4" w:rsidRDefault="008B3711" w:rsidP="008B371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B4A3D" w:rsidRPr="009A32F4" w:rsidRDefault="00AB4A3D" w:rsidP="00AB4A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1D7FD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1671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9A32F4" w:rsidRDefault="001D7FD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094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proofErr w:type="gramStart"/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485E0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4600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EF63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21,2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</w:t>
      </w:r>
      <w:r w:rsidR="00FD10E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15977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71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73,7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:rsidR="00AB4A3D" w:rsidRPr="006818A5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AB4A3D" w:rsidRPr="009A32F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A32F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в </w:t>
      </w:r>
      <w:r w:rsidR="008A278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8A278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278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278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виды работ трудоустроено </w:t>
      </w:r>
      <w:r w:rsidR="007F421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6645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</w:t>
      </w:r>
      <w:r w:rsidR="00B64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479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F421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</w:t>
      </w:r>
      <w:r w:rsidR="0000708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8A278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A8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278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A8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278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D47" w:rsidRPr="009A32F4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трудоустройства граждан является одним из основных показателей оценки работы службы занятости. В </w:t>
      </w:r>
      <w:r w:rsidR="00AD4AD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AD4AD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4AD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4AD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увеличился</w:t>
      </w:r>
      <w:r w:rsidR="00521F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71,3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6135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="00AD4AD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AD4AD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4AD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4D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81717" w:rsidRPr="00A33A5A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7BE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11филиалах</w:t>
      </w:r>
      <w:r w:rsidRPr="009A3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87" w:rsidRPr="009A32F4">
        <w:rPr>
          <w:rFonts w:ascii="Times New Roman" w:eastAsia="Calibri" w:hAnsi="Times New Roman" w:cs="Times New Roman"/>
          <w:sz w:val="24"/>
          <w:szCs w:val="24"/>
        </w:rPr>
        <w:t>ГКУ ЦЗН ЛО</w:t>
      </w:r>
      <w:r w:rsidRPr="009A32F4">
        <w:rPr>
          <w:rFonts w:ascii="Times New Roman" w:eastAsia="Calibri" w:hAnsi="Times New Roman" w:cs="Times New Roman"/>
          <w:sz w:val="24"/>
          <w:szCs w:val="24"/>
        </w:rPr>
        <w:t xml:space="preserve"> этот показатель выше </w:t>
      </w:r>
      <w:proofErr w:type="spellStart"/>
      <w:r w:rsidRPr="009A32F4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9A32F4">
        <w:rPr>
          <w:rFonts w:ascii="Times New Roman" w:eastAsia="Calibri" w:hAnsi="Times New Roman" w:cs="Times New Roman"/>
          <w:sz w:val="24"/>
          <w:szCs w:val="24"/>
        </w:rPr>
        <w:t xml:space="preserve"> значения</w:t>
      </w:r>
      <w:r w:rsidR="00477BE5" w:rsidRPr="009A32F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981717" w:rsidRPr="009A32F4">
        <w:rPr>
          <w:rFonts w:ascii="Times New Roman" w:eastAsia="Calibri" w:hAnsi="Times New Roman" w:cs="Times New Roman"/>
          <w:sz w:val="24"/>
          <w:szCs w:val="24"/>
        </w:rPr>
        <w:t xml:space="preserve">Тихвинском (72,8%), Приозерском (72,9%), </w:t>
      </w:r>
      <w:proofErr w:type="spellStart"/>
      <w:r w:rsidR="00981717" w:rsidRPr="009A32F4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981717" w:rsidRPr="009A32F4">
        <w:rPr>
          <w:rFonts w:ascii="Times New Roman" w:eastAsia="Calibri" w:hAnsi="Times New Roman" w:cs="Times New Roman"/>
          <w:sz w:val="24"/>
          <w:szCs w:val="24"/>
        </w:rPr>
        <w:t xml:space="preserve"> (73,3%), Всеволожском (74,5%), </w:t>
      </w:r>
      <w:r w:rsidR="003459C1" w:rsidRPr="009A32F4">
        <w:rPr>
          <w:rFonts w:ascii="Times New Roman" w:eastAsia="Calibri" w:hAnsi="Times New Roman" w:cs="Times New Roman"/>
          <w:sz w:val="24"/>
          <w:szCs w:val="24"/>
        </w:rPr>
        <w:t xml:space="preserve">Кировском (75%), </w:t>
      </w:r>
      <w:proofErr w:type="spellStart"/>
      <w:r w:rsidR="003459C1" w:rsidRPr="009A32F4">
        <w:rPr>
          <w:rFonts w:ascii="Times New Roman" w:eastAsia="Calibri" w:hAnsi="Times New Roman" w:cs="Times New Roman"/>
          <w:sz w:val="24"/>
          <w:szCs w:val="24"/>
        </w:rPr>
        <w:t>Сосновоборгском</w:t>
      </w:r>
      <w:proofErr w:type="spellEnd"/>
      <w:r w:rsidR="003459C1" w:rsidRPr="009A32F4">
        <w:rPr>
          <w:rFonts w:ascii="Times New Roman" w:eastAsia="Calibri" w:hAnsi="Times New Roman" w:cs="Times New Roman"/>
          <w:sz w:val="24"/>
          <w:szCs w:val="24"/>
        </w:rPr>
        <w:t xml:space="preserve"> (75,5%), Выборгском (75,6%), </w:t>
      </w:r>
      <w:proofErr w:type="spellStart"/>
      <w:r w:rsidR="003459C1" w:rsidRPr="009A32F4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3459C1" w:rsidRPr="009A32F4">
        <w:rPr>
          <w:rFonts w:ascii="Times New Roman" w:eastAsia="Calibri" w:hAnsi="Times New Roman" w:cs="Times New Roman"/>
          <w:sz w:val="24"/>
          <w:szCs w:val="24"/>
        </w:rPr>
        <w:t xml:space="preserve"> (76%), Гатчинском (77,8%), Ломоносовском (80%), </w:t>
      </w:r>
      <w:proofErr w:type="spellStart"/>
      <w:r w:rsidR="003459C1" w:rsidRPr="009A32F4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3459C1" w:rsidRPr="009A32F4">
        <w:rPr>
          <w:rFonts w:ascii="Times New Roman" w:eastAsia="Calibri" w:hAnsi="Times New Roman" w:cs="Times New Roman"/>
          <w:sz w:val="24"/>
          <w:szCs w:val="24"/>
        </w:rPr>
        <w:t xml:space="preserve"> (84,9%).</w:t>
      </w:r>
      <w:proofErr w:type="gramEnd"/>
    </w:p>
    <w:p w:rsidR="00DA2EEA" w:rsidRPr="009A32F4" w:rsidRDefault="00AF3075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Calibri" w:hAnsi="Times New Roman" w:cs="Times New Roman"/>
          <w:sz w:val="24"/>
          <w:szCs w:val="24"/>
        </w:rPr>
        <w:t>В</w:t>
      </w:r>
      <w:r w:rsidR="00DA2EEA" w:rsidRPr="009A32F4">
        <w:rPr>
          <w:rFonts w:ascii="Times New Roman" w:eastAsia="Calibri" w:hAnsi="Times New Roman" w:cs="Times New Roman"/>
          <w:sz w:val="24"/>
          <w:szCs w:val="24"/>
        </w:rPr>
        <w:t xml:space="preserve">ажно, что </w:t>
      </w:r>
      <w:r w:rsidR="00F74D39" w:rsidRPr="009A32F4">
        <w:rPr>
          <w:rFonts w:ascii="Times New Roman" w:eastAsia="Calibri" w:hAnsi="Times New Roman" w:cs="Times New Roman"/>
          <w:sz w:val="24"/>
          <w:szCs w:val="24"/>
        </w:rPr>
        <w:t>76,6</w:t>
      </w:r>
      <w:r w:rsidR="00DA2EEA" w:rsidRPr="009A32F4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</w:t>
      </w:r>
      <w:r w:rsidR="00FD10EE" w:rsidRPr="009A3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EEA" w:rsidRPr="009A32F4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FD10EE" w:rsidRPr="009A32F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A2EEA" w:rsidRPr="009A32F4">
        <w:rPr>
          <w:rFonts w:ascii="Times New Roman" w:eastAsia="Calibri" w:hAnsi="Times New Roman" w:cs="Times New Roman"/>
          <w:sz w:val="24"/>
          <w:szCs w:val="24"/>
        </w:rPr>
        <w:t>до признания их безработными.</w:t>
      </w:r>
    </w:p>
    <w:p w:rsidR="00AB4A3D" w:rsidRPr="009A32F4" w:rsidRDefault="00DA2EE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DA2EEA" w:rsidRPr="009A32F4" w:rsidRDefault="00F74D39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8399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9A32F4" w:rsidRDefault="00F74D39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10687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9A32F4" w:rsidRDefault="00F74D39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553 инвалида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3A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(3,3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333C3" w:rsidRPr="009A32F4" w:rsidRDefault="00F74D39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предпенсионного возраста (</w:t>
      </w:r>
      <w:r w:rsidR="0023563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333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EEA" w:rsidRPr="009A32F4" w:rsidRDefault="00F74D39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1411</w:t>
      </w:r>
      <w:r w:rsidR="00B333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</w:t>
      </w:r>
      <w:r w:rsidR="006818A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(8</w:t>
      </w:r>
      <w:r w:rsidR="00B333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33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DA2EE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EEA" w:rsidRPr="007E32C4" w:rsidRDefault="00DA2EEA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E" w:rsidRPr="005802DE" w:rsidRDefault="005E57C5" w:rsidP="005E57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40216" cy="2381250"/>
            <wp:effectExtent l="0" t="0" r="8890" b="0"/>
            <wp:docPr id="18" name="Рисунок 18" descr="C:\Users\lyd_anl\Desktop\скрин\Скриншот 17-10-2017 152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7-10-2017 15262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16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DF" w:rsidRDefault="004001DF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E15DC4" w:rsidRPr="00AB4A3D" w:rsidRDefault="00E15DC4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33A5A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</w:t>
      </w:r>
      <w:r w:rsidR="00245DE5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различных категорий населения</w:t>
      </w:r>
    </w:p>
    <w:p w:rsidR="00245DE5" w:rsidRPr="00245DE5" w:rsidRDefault="00245DE5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B4A3D" w:rsidRDefault="00AB4A3D" w:rsidP="009A32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45DE5"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Безработные</w:t>
      </w:r>
      <w:r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граждан</w:t>
      </w:r>
      <w:r w:rsidR="00245DE5"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 испытывающие</w:t>
      </w:r>
      <w:r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трудности в поиске работы</w:t>
      </w:r>
    </w:p>
    <w:p w:rsidR="00A33A5A" w:rsidRPr="009A32F4" w:rsidRDefault="00A33A5A" w:rsidP="009A32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3D" w:rsidRPr="009A32F4" w:rsidRDefault="00245DE5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временные работы трудоустроен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946F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граждан, испытывающих трудности в поиске работы, из них: 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A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инвалида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33A5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– женщин; 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A3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</w:t>
      </w:r>
      <w:r w:rsidR="00031B6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родителей, имеющих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детей. </w:t>
      </w:r>
    </w:p>
    <w:p w:rsidR="00396494" w:rsidRPr="009A32F4" w:rsidRDefault="0039649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трудоустроенн</w:t>
      </w:r>
      <w:r w:rsidR="000E6F2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городских жителей – </w:t>
      </w:r>
      <w:r w:rsidR="00031B6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сельских жителей                            – 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жителей моногородов – </w:t>
      </w:r>
      <w:r w:rsidR="00031B6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B4A3D" w:rsidRPr="00556920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Default="00245DE5" w:rsidP="009A32F4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Несовершеннолетние</w:t>
      </w:r>
      <w:r w:rsidR="00AB4A3D"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граждан</w:t>
      </w:r>
      <w:r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AB4A3D"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возрасте от 14 до 18 лет </w:t>
      </w:r>
    </w:p>
    <w:p w:rsidR="00A33A5A" w:rsidRPr="009A32F4" w:rsidRDefault="00A33A5A" w:rsidP="009A32F4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031B6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</w:t>
      </w:r>
      <w:r w:rsidR="008940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FD10E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до 18 лет в свободное от учебы время, </w:t>
      </w:r>
      <w:r w:rsidR="00245DE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9A32F4" w:rsidRDefault="00556920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5875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653B91" w:rsidRPr="009A32F4" w:rsidRDefault="00556920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2643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</w:t>
      </w:r>
      <w:r w:rsidR="004C51A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занимались благоустройством</w:t>
      </w:r>
      <w:r w:rsidR="00A650B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озеленением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предприятий (организаций)</w:t>
      </w:r>
      <w:r w:rsidR="00A650B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</w:t>
      </w:r>
      <w:r w:rsidR="00195BE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социальную помощь на дому (патронажная служба) гражданам пожилого возраста, ветеранам и участникам Великой Отечественной войны.</w:t>
      </w:r>
    </w:p>
    <w:p w:rsidR="00DD7C71" w:rsidRPr="009A32F4" w:rsidRDefault="00DD7C71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Общественные работы</w:t>
      </w:r>
    </w:p>
    <w:p w:rsidR="00A33A5A" w:rsidRPr="009A32F4" w:rsidRDefault="00A33A5A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70C5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2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965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DD7C71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="00E870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оплачиваемым общественным работам: </w:t>
      </w:r>
    </w:p>
    <w:p w:rsidR="007E32C4" w:rsidRPr="00A33A5A" w:rsidRDefault="00556920" w:rsidP="00A3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671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8940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безработные граждане;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0B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70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</w:t>
      </w:r>
      <w:r w:rsidR="00CA306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="00E870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стремящиеся возобновить трудовую деятельность после длительного (более года) перерыва; </w:t>
      </w:r>
      <w:r w:rsidR="00DD7C7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</w:t>
      </w:r>
      <w:r w:rsidR="00A75BC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ищущие работу, из них: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0B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650B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имеющие квалификации.</w:t>
      </w:r>
      <w:proofErr w:type="gramEnd"/>
    </w:p>
    <w:p w:rsidR="00723194" w:rsidRDefault="00723194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AB4A3D" w:rsidRPr="00245DE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A32F4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родолжена работа по оказанию помощи</w:t>
      </w:r>
      <w:r w:rsidR="00245DE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9A32F4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4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7E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январе-сентябре</w:t>
      </w:r>
      <w:r w:rsidR="009F4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9A32F4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E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 </w:t>
      </w:r>
    </w:p>
    <w:p w:rsidR="00AB4A3D" w:rsidRPr="009A32F4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E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AB4A3D" w:rsidRPr="009A32F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BB7E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:rsidR="00AB4A3D" w:rsidRPr="009A32F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BB7E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BE4D8F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9A32F4" w:rsidRDefault="0058339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7A6AB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623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A6AB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 обратил</w:t>
      </w:r>
      <w:r w:rsidR="00B16BB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12533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64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 из них: трудоустроен</w:t>
      </w:r>
      <w:r w:rsidR="00B16BB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10687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16BB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4F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9A32F4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B64F4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C3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7078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9A32F4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FE7C3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9A32F4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B64F4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C3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8C6C3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58339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BE4D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AE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лет;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временному трудоустройству безработных граждан в возрасте от 18 до 20 лет, имеющих среднее профессиональное образование и ищущих работу впервые, – </w:t>
      </w:r>
      <w:r w:rsidR="0058339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878D2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выпускных классов общеобразовательных организаций проведены </w:t>
      </w:r>
      <w:r w:rsidR="008940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F167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39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7E1D7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и рабочих мест с целью оказания профориентационных услуг</w:t>
      </w:r>
      <w:r w:rsidR="008940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сферы деятельности, п</w:t>
      </w:r>
      <w:r w:rsidR="00B878D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рофессии, учебного заведения.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ярмарках </w:t>
      </w:r>
      <w:r w:rsidR="002A739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4640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 </w:t>
      </w:r>
      <w:r w:rsidR="007C564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 Ленинградской области и Санкт-Петербурга.</w:t>
      </w:r>
    </w:p>
    <w:p w:rsidR="000742F4" w:rsidRPr="009A32F4" w:rsidRDefault="005C352F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Началась работа по реализации </w:t>
      </w:r>
      <w:r w:rsidR="00583394"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</w:t>
      </w:r>
      <w:r w:rsidR="000742F4"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работодателям </w:t>
      </w:r>
      <w:r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субсидии Ленинградской области </w:t>
      </w:r>
      <w:r w:rsidR="00583394"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возмещается часть заработной платы, выплаченной трудоустроенным несовершеннолетним гражданам в возрасте от 14 до 18 лет и трудоустроенным выпускникам образовательных организаций, не имеющим опыта работы по полученной специальности, </w:t>
      </w:r>
      <w:r w:rsidR="008E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83394"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лет после окончания образовательных организаций высшего или среднего профессионального</w:t>
      </w:r>
      <w:proofErr w:type="gramEnd"/>
      <w:r w:rsidR="00583394"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</w:t>
      </w:r>
      <w:r w:rsidR="000742F4" w:rsidRPr="009A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2C4" w:rsidRPr="007E32C4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0F452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9A32F4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2873</w:t>
      </w:r>
      <w:r w:rsidR="00152B4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52B4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52B4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A650B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8E4B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105 человек; 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8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1411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относящихся к указанным категориям, </w:t>
      </w:r>
      <w:r w:rsidR="004A470C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многодетные родители – 57 человек;</w:t>
      </w:r>
      <w:r w:rsidR="008E4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родители, имеющие</w:t>
      </w:r>
      <w:r w:rsidR="00DD7C7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детей-инвалидов </w:t>
      </w:r>
      <w:r w:rsidR="008E4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52B4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человека.</w:t>
      </w:r>
      <w:proofErr w:type="gramEnd"/>
    </w:p>
    <w:p w:rsidR="006E3551" w:rsidRPr="009A32F4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22 человека;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FE7C3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содействием в поиске подходящей работы обратились </w:t>
      </w:r>
      <w:r w:rsidR="00DD27D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982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DD27D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940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DD27D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5110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4667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0F4525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AB4A3D" w:rsidRPr="000F452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9A32F4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E6E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январе-</w:t>
      </w:r>
      <w:r w:rsidR="00365E65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сентябре</w:t>
      </w:r>
      <w:r w:rsidR="007E6E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7E6E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E6E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1373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E30D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относящихся к категории инвалидов (</w:t>
      </w:r>
      <w:r w:rsidR="003100D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9A32F4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553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инвалидность (</w:t>
      </w:r>
      <w:r w:rsidR="003100D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654B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1D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532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AC1FD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относящихся к категории инвалидов. 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D7C71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или </w:t>
      </w:r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4,4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безработных граждан – </w:t>
      </w:r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442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572EB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17B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77446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305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                          или </w:t>
      </w:r>
      <w:r w:rsidR="008041E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28,5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7446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1</w:t>
      </w:r>
      <w:r w:rsidR="0077446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7446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BE4D8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8041E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E4D8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1,2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9A32F4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профессиональному обучению и дополнительному профессиональному образованию приступили </w:t>
      </w:r>
      <w:r w:rsidR="00FE7C3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инвалида из числа безработных граждан, что составило </w:t>
      </w:r>
      <w:r w:rsidR="00FE7C3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5,3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46 незанятых инвалидов.</w:t>
      </w:r>
    </w:p>
    <w:p w:rsidR="00063496" w:rsidRPr="009A32F4" w:rsidRDefault="0089233B" w:rsidP="000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B77F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C3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B77F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водитель погрузчика,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кладовщик, </w:t>
      </w:r>
      <w:r w:rsidR="00B77F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лифтер, оператор котельной, охранник, продавец, повар</w:t>
      </w:r>
      <w:r w:rsidR="000634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садовник</w:t>
      </w:r>
      <w:r w:rsidR="00582E0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7E32C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650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1C7845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05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4E4CB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</w:t>
      </w:r>
      <w:r w:rsidR="004E4CB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4E4CB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59,6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2538</w:t>
      </w:r>
      <w:r w:rsidR="00B94A7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9A32F4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за 9 месяцев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86FF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86FF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658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9A32F4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 реализации мероприятия «Содействие трудоустройству граждан, нуждающихся в дополнительной поддержке», в части содействия занятости инвалидов, понимается компенсация расходов работодателей на выплату заработной платы трудоустроенного инвалида и доплату </w:t>
      </w:r>
      <w:r w:rsidR="001F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1F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осуществлению контроля за осуществлением трудоустроенным инвалидом трудовой деятельности, по оказанию помощи в исполнении инвалидом его функциональных обязанностей, </w:t>
      </w:r>
      <w:r w:rsidR="001F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0742F4" w:rsidRPr="009A32F4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0742F4" w:rsidRPr="009A32F4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0742F4" w:rsidRPr="009A32F4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 2017 года в реализации мероприятия, по заключенным договорам 2017 года, приняли участие 41 человек.</w:t>
      </w:r>
    </w:p>
    <w:p w:rsidR="00AB4A3D" w:rsidRPr="000F4525" w:rsidRDefault="00AB4A3D" w:rsidP="00AB4A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77446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77446F" w:rsidRPr="009A32F4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6594 сельских жителя,  из них: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4774 человека (72,4%). </w:t>
      </w:r>
      <w:proofErr w:type="gramEnd"/>
    </w:p>
    <w:p w:rsidR="0077446F" w:rsidRPr="009A32F4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77446F" w:rsidRPr="009A32F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:rsidR="0077446F" w:rsidRPr="009A32F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профессиональной ориентации – 11312 человек; </w:t>
      </w:r>
    </w:p>
    <w:p w:rsidR="0077446F" w:rsidRPr="009A32F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психологической поддержке – 337 человек;</w:t>
      </w:r>
    </w:p>
    <w:p w:rsidR="0077446F" w:rsidRPr="009A32F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приступили к профессиональному обучению – 273 человека;</w:t>
      </w:r>
    </w:p>
    <w:p w:rsidR="0077446F" w:rsidRPr="009A32F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социальной адаптации – 267 человек; </w:t>
      </w:r>
    </w:p>
    <w:p w:rsidR="0077446F" w:rsidRPr="009A32F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приняли участие в общественных работах – 247 человек;</w:t>
      </w:r>
    </w:p>
    <w:p w:rsidR="0077446F" w:rsidRPr="009A32F4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128 человек. </w:t>
      </w:r>
    </w:p>
    <w:p w:rsidR="0077446F" w:rsidRPr="009A32F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9A32F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9A32F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9A32F4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01.10.2017:</w:t>
      </w:r>
    </w:p>
    <w:p w:rsidR="0077446F" w:rsidRPr="009A32F4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Pr="009A32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1046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вакансий, предоставленных предприятиями агропромышленного комплекса (4,8% от общего количества вакансий); </w:t>
      </w:r>
    </w:p>
    <w:p w:rsidR="0077446F" w:rsidRPr="009A32F4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тояли 1007 безработных граждан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99 человек меньше, чем в начале 2017 года). </w:t>
      </w:r>
    </w:p>
    <w:p w:rsidR="0077446F" w:rsidRPr="00BA1B1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C461B5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0F4525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9A32F4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B72DA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78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освобожденных из учреждений, исполняющих наказание в виде лишения свободы,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третий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B4C0B" w:rsidRPr="009A32F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9A32F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11494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901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78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ьмо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9A32F4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DD7C7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8D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лишения свободы, получили </w:t>
      </w:r>
      <w:proofErr w:type="spellStart"/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9A32F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EC0F7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8C6C3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C0F7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9A32F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EC0F7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9A32F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B72DA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A507E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9A32F4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B72DA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9A32F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6D431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специалисты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B72DA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посетили исправительные учреждения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9A32F4" w:rsidRDefault="00114942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246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гражданам, подлежащим освобождению,</w:t>
      </w:r>
      <w:r w:rsidR="00DD7C7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о предоставляемых службой занятости </w:t>
      </w:r>
      <w:proofErr w:type="spellStart"/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6151F" w:rsidRPr="009A32F4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Петербургу и Ленинградской области, расположенных на территории Ленинградской области (далее – УИИ) приём </w:t>
      </w:r>
      <w:r w:rsidR="0011494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314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11361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:rsidR="00642BE1" w:rsidRPr="009A32F4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B72DA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5B4C0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884DA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2F01B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1D00FD" w:rsidRPr="001D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1D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освобожденных из учреждений, </w:t>
      </w:r>
      <w:r w:rsidR="001D00FD" w:rsidRPr="001D0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исполняющих наказание в виде лишения свободы</w:t>
      </w:r>
      <w:r w:rsidR="002F01B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0F4525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F09" w:rsidRPr="009A32F4" w:rsidRDefault="00AB4A3D" w:rsidP="0073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60D21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920D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</w:t>
      </w:r>
      <w:r w:rsidR="0078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r w:rsidR="009920D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</w:t>
      </w:r>
      <w:r w:rsidR="0078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60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0CE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70CE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приступили к профессиональному обучению</w:t>
      </w:r>
      <w:r w:rsidR="0078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дополнительному профессиональному образованию (далее – профессиональное обучение) </w:t>
      </w:r>
      <w:r w:rsidR="0078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службы занятости 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1507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числе: 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1186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</w:t>
      </w:r>
      <w:r w:rsidR="0078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77F7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в период отпуска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ребёнком до достижения им возраста трёх лет</w:t>
      </w:r>
      <w:r w:rsidR="00C70CE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733F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9A32F4">
        <w:rPr>
          <w:rFonts w:ascii="Times New Roman" w:eastAsia="Calibri" w:hAnsi="Times New Roman" w:cs="Times New Roman"/>
          <w:sz w:val="24"/>
          <w:szCs w:val="24"/>
        </w:rPr>
        <w:t>незанятых граждан, которым</w:t>
      </w:r>
      <w:r w:rsidR="009920D6" w:rsidRPr="009A3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9A32F4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назначена страховая пенсия</w:t>
      </w:r>
      <w:r w:rsidR="009E5D22" w:rsidRPr="009A3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9A32F4">
        <w:rPr>
          <w:rFonts w:ascii="Times New Roman" w:eastAsia="Calibri" w:hAnsi="Times New Roman" w:cs="Times New Roman"/>
          <w:sz w:val="24"/>
          <w:szCs w:val="24"/>
        </w:rPr>
        <w:t>по старости и которые стремятся</w:t>
      </w:r>
      <w:proofErr w:type="gramEnd"/>
      <w:r w:rsidR="00733F09" w:rsidRPr="009A32F4">
        <w:rPr>
          <w:rFonts w:ascii="Times New Roman" w:eastAsia="Calibri" w:hAnsi="Times New Roman" w:cs="Times New Roman"/>
          <w:sz w:val="24"/>
          <w:szCs w:val="24"/>
        </w:rPr>
        <w:t xml:space="preserve"> возобновить трудовую деятельность</w:t>
      </w:r>
      <w:r w:rsidR="00C70CE3" w:rsidRPr="009A3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0D6" w:rsidRPr="009A32F4">
        <w:rPr>
          <w:rFonts w:ascii="Times New Roman" w:eastAsia="Calibri" w:hAnsi="Times New Roman" w:cs="Times New Roman"/>
          <w:sz w:val="24"/>
          <w:szCs w:val="24"/>
        </w:rPr>
        <w:t xml:space="preserve">(далее – пенсионеры) </w:t>
      </w:r>
      <w:r w:rsidR="00B77F7B" w:rsidRPr="009A32F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920D6" w:rsidRPr="009A32F4">
        <w:rPr>
          <w:rFonts w:ascii="Times New Roman" w:eastAsia="Calibri" w:hAnsi="Times New Roman" w:cs="Times New Roman"/>
          <w:sz w:val="24"/>
          <w:szCs w:val="24"/>
        </w:rPr>
        <w:t>46</w:t>
      </w:r>
      <w:r w:rsidR="00C70CE3" w:rsidRPr="009A3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F7B" w:rsidRPr="009A32F4">
        <w:rPr>
          <w:rFonts w:ascii="Times New Roman" w:hAnsi="Times New Roman" w:cs="Times New Roman"/>
          <w:sz w:val="24"/>
          <w:szCs w:val="24"/>
        </w:rPr>
        <w:t>незанятых инвалидов</w:t>
      </w:r>
      <w:r w:rsidR="00735B52" w:rsidRPr="009A32F4">
        <w:rPr>
          <w:rFonts w:ascii="Times New Roman" w:hAnsi="Times New Roman" w:cs="Times New Roman"/>
          <w:sz w:val="24"/>
          <w:szCs w:val="24"/>
        </w:rPr>
        <w:t xml:space="preserve">, обратившихся в службу занятости населения </w:t>
      </w:r>
      <w:r w:rsidR="007832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5B52" w:rsidRPr="009A32F4">
        <w:rPr>
          <w:rFonts w:ascii="Times New Roman" w:hAnsi="Times New Roman" w:cs="Times New Roman"/>
          <w:sz w:val="24"/>
          <w:szCs w:val="24"/>
        </w:rPr>
        <w:t>за содействием в поиске подходящей работы</w:t>
      </w:r>
      <w:r w:rsidR="004B6A52" w:rsidRPr="009A32F4">
        <w:rPr>
          <w:rFonts w:ascii="Times New Roman" w:hAnsi="Times New Roman" w:cs="Times New Roman"/>
          <w:sz w:val="24"/>
          <w:szCs w:val="24"/>
        </w:rPr>
        <w:t xml:space="preserve"> (далее - незанятые инвалиды)</w:t>
      </w:r>
      <w:r w:rsidR="00733F09" w:rsidRPr="009A32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B52" w:rsidRPr="009A32F4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граждан осуществлялось</w:t>
      </w:r>
      <w:r w:rsidR="0076460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имеющим спрос на рынке труда региона: </w:t>
      </w:r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повар, 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автотранспортного средства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(различные категории)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</w:t>
      </w:r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электромонтер, кладовщик, оператор котельной,</w:t>
      </w:r>
      <w:r w:rsidR="00E60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слесарь-сантехник</w:t>
      </w:r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машинист экскаватора, швея, </w:t>
      </w:r>
      <w:proofErr w:type="spellStart"/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0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докер-механизатор,</w:t>
      </w:r>
      <w:r w:rsidR="00E60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2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лесарь </w:t>
      </w:r>
      <w:proofErr w:type="spellStart"/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</w:t>
      </w:r>
      <w:r w:rsidR="000942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942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</w:t>
      </w:r>
      <w:r w:rsidR="00E60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парикмахер, </w:t>
      </w:r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маникюрша, тракторист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</w:t>
      </w:r>
      <w:r w:rsidR="00EB44F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</w:t>
      </w:r>
      <w:r w:rsidR="00EB44F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специализации)</w:t>
      </w:r>
      <w:r w:rsidR="00E60D2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дошкольной образовательной организации</w:t>
      </w:r>
      <w:r w:rsidR="00735B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733F09" w:rsidRPr="009A32F4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обучающихся рабочим профессиям</w:t>
      </w:r>
      <w:r w:rsidR="008704A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6B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68,2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9A32F4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профессионального обучения составила</w:t>
      </w:r>
      <w:r w:rsidR="006B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BC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9A32F4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женщин осуществлялось под конкретные рабочие места</w:t>
      </w:r>
      <w:r w:rsidR="009E5D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 (направлениям подготовки)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парикмахер, бухгалтер, 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gramStart"/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ухгалтерия, 1С:Управление торговлей, 1С:</w:t>
      </w:r>
      <w:r w:rsidR="009920D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и </w:t>
      </w:r>
      <w:r w:rsidR="00F216F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склад, воспитатель дошкольной образовательной организации, маникюрша, портной, повар, специалист кадровой службы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по закупкам</w:t>
      </w:r>
      <w:r w:rsidR="00F216F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7E32C4" w:rsidRPr="009A32F4" w:rsidRDefault="00733F09" w:rsidP="000F45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пенсионеров </w:t>
      </w:r>
      <w:r w:rsidR="004B6A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незанятых инвалидов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8704A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B44F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(специальностям), пользующ</w:t>
      </w:r>
      <w:r w:rsidR="004B6A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спросом на рынке труда региона: кладовщик, </w:t>
      </w:r>
      <w:r w:rsidR="004B6A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кадровой службы, экскурсовод, бухгалтер, парикмахер, оператор котельной, электромонтер, водитель погрузчика, </w:t>
      </w:r>
      <w:r w:rsidR="00C3151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охранник, </w:t>
      </w:r>
      <w:r w:rsidR="004B6A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проектирование</w:t>
      </w:r>
      <w:r w:rsidR="002330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B6A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моделирование </w:t>
      </w:r>
      <w:r w:rsidR="009E5D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5802DE" w:rsidRPr="00DC5BC4" w:rsidRDefault="005802DE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A32F4" w:rsidRDefault="005E2BB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ражданам оказаны 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22893</w:t>
      </w:r>
      <w:r w:rsidR="007628B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услуга).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олучатели </w:t>
      </w:r>
      <w:proofErr w:type="spellStart"/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9A32F4" w:rsidRDefault="00AB4A3D" w:rsidP="00AB4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14-29 лет –</w:t>
      </w:r>
      <w:r w:rsidR="005E2BB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7078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9A32F4" w:rsidRDefault="004D5907" w:rsidP="00AB4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безработные граждане </w:t>
      </w:r>
      <w:r w:rsidR="009E5D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4457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28F" w:rsidRPr="009A32F4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ликвидацией организации или сокращением штата работников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9A32F4" w:rsidRDefault="00AB4A3D" w:rsidP="00AF0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стремящиеся возобновить трудовую деятельность после длительного (</w:t>
      </w:r>
      <w:r w:rsidR="005025B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года) перерыва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1243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9A32F4" w:rsidRDefault="00AB4A3D" w:rsidP="00AB4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</w:t>
      </w:r>
      <w:r w:rsidR="005025B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1007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9A32F4" w:rsidRDefault="00AB4A3D" w:rsidP="00AB4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едпенсионного возраста – 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622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91E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образовательных организаций ока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 </w:t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5124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4A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E2BB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921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B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52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государственного задания по профессиональной ориентации, установленного</w:t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подведомственному комитету учреждению ГАОУ ДО Л</w:t>
      </w:r>
      <w:r w:rsidR="0058525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«Учебно-методический центр».</w:t>
      </w:r>
      <w:r w:rsidR="00904F1C" w:rsidRPr="009A3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904F1C" w:rsidRPr="009A3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ярмарок вакансий и учебных р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абочих мест </w:t>
      </w:r>
      <w:proofErr w:type="gramStart"/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8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5B8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Воспитанникам детских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(ресурсных центров) 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школ-интернатов оказано </w:t>
      </w:r>
      <w:r w:rsidR="00AF02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10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 </w:t>
      </w:r>
      <w:proofErr w:type="spellStart"/>
      <w:r w:rsidR="009F10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передвижного центра профориентации прош</w:t>
      </w:r>
      <w:r w:rsidR="001D5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</w:t>
      </w:r>
      <w:r w:rsidR="001D577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ационное</w:t>
      </w:r>
      <w:proofErr w:type="spellEnd"/>
      <w:r w:rsidR="001D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и получил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941 человек</w:t>
      </w:r>
      <w:r w:rsidR="0058525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E9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525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515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образовательных организаций при содействии ГКУ ЦЗН ЛО проведены </w:t>
      </w:r>
      <w:r w:rsidR="009A515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6A0D4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 и в организации Ленинградской области.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отным гражданам оказаны 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1193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2330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536B3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9A32F4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инвалидов, 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3E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C2B" w:rsidRPr="009A32F4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ликвидацией организации или с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окращением штата работников, – 253</w:t>
      </w:r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2C4" w:rsidRPr="009A32F4" w:rsidRDefault="00AB4A3D" w:rsidP="00C5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перерыва, – 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4D5907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3E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C57C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AE1C1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9E5D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9A32F4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4A3D" w:rsidRPr="00E15DC4" w:rsidRDefault="00AB4A3D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9A32F4" w:rsidRDefault="0023303D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</w:t>
      </w:r>
      <w:proofErr w:type="spellEnd"/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C35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1070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 </w:t>
      </w:r>
      <w:r w:rsidR="005C35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566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="005961C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67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8B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35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5C35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5C35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167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28,</w:t>
      </w:r>
      <w:r w:rsidR="005C35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2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5D2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 (</w:t>
      </w:r>
      <w:r w:rsidR="001D5771">
        <w:rPr>
          <w:rFonts w:ascii="Times New Roman" w:eastAsia="Times New Roman" w:hAnsi="Times New Roman" w:cs="Times New Roman"/>
          <w:sz w:val="24"/>
          <w:szCs w:val="24"/>
          <w:lang w:eastAsia="ru-RU"/>
        </w:rPr>
        <w:t>19,3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3F6A6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</w:t>
      </w:r>
      <w:r w:rsidR="007628B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14,</w:t>
      </w:r>
      <w:r w:rsidR="003F6A6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3F6A6A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E15DC4" w:rsidRDefault="00AB4A3D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5802DE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9A32F4" w:rsidRDefault="00AB4A3D" w:rsidP="00580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</w:t>
      </w:r>
      <w:r w:rsidR="00D0740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 </w:t>
      </w: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организовано и проведено</w:t>
      </w:r>
      <w:proofErr w:type="gram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291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 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14429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7C564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100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7C564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7E1D7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заведений.</w:t>
      </w:r>
    </w:p>
    <w:p w:rsidR="00AB4A3D" w:rsidRPr="009A32F4" w:rsidRDefault="00AB4A3D" w:rsidP="00AB4A3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C564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9A32F4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6668D9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  <w:r w:rsidR="00EA5F3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="00EA5F3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</w:t>
      </w:r>
      <w:r w:rsidR="001D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gramEnd"/>
      <w:r w:rsidR="00EA5F3B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населения, 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="00DC1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мини-ярмарка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703FC5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межрайонные, </w:t>
      </w:r>
      <w:r w:rsidR="00C51437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– районные, </w:t>
      </w:r>
      <w:r w:rsidR="006668D9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668D9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 ярмарки профессий </w:t>
      </w:r>
      <w:r w:rsidR="00C5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6668D9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учебных мест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5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C564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C5643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дистанционные</w:t>
      </w:r>
      <w:r w:rsidR="00703FC5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9A32F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ярмарок носила специализированный характер: 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организации временных                     и сезонных работ; 2 – для выпускников профессиональных образовательных организаций;                    9 – для организации общественных работ; 1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1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лиц, вернувшихся из мест лишения свободы и отбывающих наказание условно; 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 2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летней занятости подростков;</w:t>
      </w:r>
      <w:proofErr w:type="gramEnd"/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6A6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</w:t>
      </w:r>
      <w:r w:rsidR="00532A6D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5DCA" w:rsidRPr="009A32F4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D52DE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52DE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D52DE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638A" w:rsidRPr="009A32F4" w:rsidRDefault="00DB277F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463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E463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оперативные. </w:t>
      </w:r>
    </w:p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B277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www.job.lenobl.ru,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более удобного перехода к «банку» вакансий на главной странице размещен баннер портала «Работа</w:t>
      </w:r>
      <w:r w:rsidR="00DB277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России».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публиковалась информация о предстоящих мероприятиях службы занятости и памятка «Безопасный труд» в виде баннера</w:t>
      </w:r>
      <w:r w:rsidR="00DB277F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главной странице.</w:t>
      </w:r>
    </w:p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и регулярно обновлялись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вакансии</w:t>
      </w:r>
      <w:r w:rsidR="00DB277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</w:t>
      </w:r>
      <w:r w:rsidR="00DB277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авлением                  жилья;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ограниченными возможностями.</w:t>
      </w:r>
    </w:p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Освещались новые направления работы биржи труда в 2017 году: проект «Бабушка на час», форум «Биржа деловых контактов», </w:t>
      </w:r>
      <w:r w:rsidR="00C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обильный комплекс по охране труда и другие.</w:t>
      </w:r>
    </w:p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C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публиковались релизы, связанные с популяризацией рабочих професс</w:t>
      </w:r>
      <w:r w:rsidR="00D52DE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профессионального обучения, велась </w:t>
      </w:r>
      <w:proofErr w:type="gramStart"/>
      <w:r w:rsidR="00D52DE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="00D52DE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пиар-акция в преддверии «Единого</w:t>
      </w:r>
      <w:r w:rsidR="00EF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DE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трудоустройства», который прошел в Ленинградской области 10 октября</w:t>
      </w:r>
      <w:r w:rsidR="00C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="00D52DE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38A" w:rsidRPr="009A32F4" w:rsidRDefault="00A070DC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расширяться группа комитета в социальных сетях «</w:t>
      </w:r>
      <w:proofErr w:type="spellStart"/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https://vk.com/ktzn_lo, на </w:t>
      </w:r>
      <w:proofErr w:type="gramStart"/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</w:t>
      </w:r>
      <w:r w:rsidR="00D1194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775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Количество подписчиков </w:t>
      </w:r>
      <w:r w:rsidR="00C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увеличивается. Создана закрытая группа «</w:t>
      </w:r>
      <w:proofErr w:type="spellStart"/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D11944" w:rsidRPr="009A32F4" w:rsidRDefault="00E4638A" w:rsidP="00D1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» https://www.instagram.com/ktzn_lo/, где ежедневно публиковались фотоотчеты с мероприятий</w:t>
      </w:r>
      <w:r w:rsidR="00DB277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краткая информация о прошедших событиях</w:t>
      </w:r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</w:t>
      </w:r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 месяцев</w:t>
      </w:r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2017 года на странице «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Инстаграм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размещено</w:t>
      </w:r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373 </w:t>
      </w:r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публикаци</w:t>
      </w:r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и, в том числе </w:t>
      </w:r>
      <w:proofErr w:type="spellStart"/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нововеддение</w:t>
      </w:r>
      <w:proofErr w:type="spellEnd"/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комитета – </w:t>
      </w:r>
      <w:proofErr w:type="spellStart"/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="00EF0A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</w:t>
      </w:r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</w:t>
      </w:r>
      <w:r w:rsidR="00EF0A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граждан</w:t>
      </w:r>
      <w:r w:rsidR="00D11944"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F0A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100 участников, число желающих вступить в группу постепенно увеличивается. Комитет стремится быть открытым и доступным для всех пользователей Интернета. </w:t>
      </w:r>
    </w:p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9A3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</w:t>
      </w:r>
      <w:r w:rsidR="00256B3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на рынке труда</w:t>
      </w:r>
      <w:r w:rsidR="00EF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E4638A" w:rsidRPr="009A32F4" w:rsidRDefault="009360C5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канал 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</w:t>
      </w:r>
      <w:r w:rsidR="003F27A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ролики о создании рабочих мест для инвалидов с реальными участниками</w:t>
      </w:r>
      <w:r w:rsidR="00256B3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работодателями.</w:t>
      </w:r>
    </w:p>
    <w:p w:rsidR="00E4638A" w:rsidRPr="009A32F4" w:rsidRDefault="009360C5" w:rsidP="00E4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 использовались СМИ регионального и районного масштабов.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94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</w:t>
      </w:r>
      <w:proofErr w:type="spellStart"/>
      <w:r w:rsidR="00D11944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меясцев</w:t>
      </w:r>
      <w:proofErr w:type="spellEnd"/>
      <w:r w:rsidR="00E463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 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более </w:t>
      </w:r>
      <w:r w:rsidR="00D1194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материалов: объявлений о предстоящих ярмарках вакансий,</w:t>
      </w:r>
      <w:r w:rsidR="00E463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обновлялось информация о количестве свободных рабочих мест, освещались мероприятия службы занятости.</w:t>
      </w:r>
    </w:p>
    <w:p w:rsidR="00E4638A" w:rsidRPr="009A32F4" w:rsidRDefault="00E4638A" w:rsidP="00E4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 и т.д.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0" w:name="_Toc299357663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</w:p>
    <w:p w:rsidR="00E4638A" w:rsidRPr="009A32F4" w:rsidRDefault="00E4638A" w:rsidP="00E4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9A3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9A3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="002B254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="002B254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="002B254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</w:t>
      </w:r>
      <w:r w:rsidR="00C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B254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2546" w:rsidRPr="009A3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="00312FF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</w:t>
      </w:r>
      <w:r w:rsidR="002B254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2FF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филиалах </w:t>
      </w:r>
      <w:r w:rsidR="00187848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работы, перечень предоставляемых услуг и т.д.). Еженедельно </w:t>
      </w:r>
      <w:r w:rsidR="009360C5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ЦЗН ЛО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информацию о наличии рабочих мест в местные СМИ.</w:t>
      </w:r>
    </w:p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</w:t>
      </w:r>
      <w:r w:rsidR="00C20C0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использоваться публичные точки коллективного доступа к Интернету                          на основе технологии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филиалах ГКУ ЦЗН ЛО в 2016 году. Проект нацелен на возможность бесплатного доступа к Интернету социально незащищенных категорий населения. Ежедневно служба занятости изучает отчет по авторизациям. </w:t>
      </w:r>
    </w:p>
    <w:p w:rsidR="00E4638A" w:rsidRPr="009A32F4" w:rsidRDefault="00FC45FD" w:rsidP="00E4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региона получают возможность доступа к общероссийской базе вакансий, порталу государственных и муниципальных услуг, а также к информации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38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органов исполнительной власти Ленинградской области и органов местного самоуправления.</w:t>
      </w:r>
    </w:p>
    <w:p w:rsidR="00E4638A" w:rsidRPr="009A32F4" w:rsidRDefault="00E4638A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E4638A" w:rsidRPr="009A32F4" w:rsidRDefault="00D11944" w:rsidP="00E4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</w:t>
      </w:r>
      <w:proofErr w:type="spellStart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меясцев</w:t>
      </w:r>
      <w:proofErr w:type="spellEnd"/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 w:rsidR="00E463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 сайте комитета опубликовано </w:t>
      </w:r>
      <w:r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219</w:t>
      </w:r>
      <w:r w:rsidR="00E463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информационных                                  и аналитических материалов. На радио более </w:t>
      </w:r>
      <w:r w:rsidR="002B254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E463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размещена информация о вакансиях, информация о предстоящих мероприятиях службы занятости. На телевидении представлено </w:t>
      </w:r>
      <w:r w:rsidR="00C5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2B2546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E4638A" w:rsidRPr="009A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информационных материалов и «бегущих строк» с вакансиями и объявлениями службы занятости.</w:t>
      </w:r>
    </w:p>
    <w:p w:rsidR="009A32F4" w:rsidRDefault="009A32F4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AB4A3D" w:rsidRPr="00E15DC4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E15DC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0F4525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400C3" w:rsidRPr="009A32F4" w:rsidRDefault="002A6C1D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8400C3" w:rsidRPr="009A32F4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 пособие по безработице выплачено 10388 безработным гражданам, что на 1398 человек меньше, чем з</w:t>
      </w:r>
      <w:r w:rsidR="00DC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аналогичный период 2016 года 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(11786 человек).</w:t>
      </w:r>
    </w:p>
    <w:p w:rsidR="008400C3" w:rsidRPr="009A32F4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3711,81 руб.,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1,7% меньше по сравнению с 2016 годом (3773,98 руб.). </w:t>
      </w:r>
    </w:p>
    <w:p w:rsidR="008400C3" w:rsidRPr="009A32F4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увеличилось количество безработных граждан, получавших пособие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безработице в минимальном размере. В 2017 году доля этой категории граждан составляла 38%,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– 36%. </w:t>
      </w:r>
    </w:p>
    <w:p w:rsidR="008400C3" w:rsidRPr="009A32F4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составляло 1141 человек, что на 164 человека меньше, по сравнению </w:t>
      </w:r>
      <w:r w:rsidR="009D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аналогичным периодом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(1305 человек). </w:t>
      </w:r>
    </w:p>
    <w:p w:rsidR="008400C3" w:rsidRPr="009A32F4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 службы занят</w:t>
      </w:r>
      <w:r w:rsidR="00012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составляла 2962,12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2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</w:t>
      </w:r>
      <w:r w:rsidR="0001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года </w:t>
      </w:r>
      <w:r w:rsidR="008400C3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3390,84 руб.).</w:t>
      </w:r>
    </w:p>
    <w:p w:rsidR="008400C3" w:rsidRPr="009A32F4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Увеличилось количество граждан, получавших стипендию в минимальном размере. Доля этой категории граждан в 2017 году – 55,4%, в 2016 году – 52,6%.</w:t>
      </w:r>
    </w:p>
    <w:p w:rsidR="008400C3" w:rsidRPr="009A32F4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157 безработным гражданам, за аналогичный период </w:t>
      </w:r>
      <w:r w:rsidR="00D3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– 164 безработным гражданам.</w:t>
      </w:r>
    </w:p>
    <w:p w:rsidR="008400C3" w:rsidRPr="009A32F4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44 гражданам, за аналогичный период 2016 года – 24 гражданам, в связи с истечением установленного периода выплаты пособия по безработице 1 гражданину.</w:t>
      </w:r>
    </w:p>
    <w:p w:rsidR="00AB4A3D" w:rsidRPr="009A32F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AB4A3D" w:rsidRPr="002F01B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6CA" w:rsidRPr="009A32F4" w:rsidRDefault="00C526CA" w:rsidP="00C5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2017 года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11 соглашений в сфере труда               и 378 коллективных договоров, из них: 26 – впервые, а также 114 дополнений и изменений                             к коллективным договорам. </w:t>
      </w:r>
      <w:proofErr w:type="gramEnd"/>
    </w:p>
    <w:p w:rsidR="00C526CA" w:rsidRPr="009A32F4" w:rsidRDefault="00C526CA" w:rsidP="00C526C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01.10.2017 в Ленинградской области действует 42 соглашения в сфере труда                           и 1440 коллективных договоров организаций области. Численность работников, охваченных коллективными договорами, составляет 210,0 тыс. человек. </w:t>
      </w:r>
    </w:p>
    <w:p w:rsidR="00C526CA" w:rsidRPr="009A32F4" w:rsidRDefault="00C526CA" w:rsidP="00C526C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размещен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комитета макет коллективного договора.</w:t>
      </w:r>
    </w:p>
    <w:p w:rsidR="00C526CA" w:rsidRPr="009A32F4" w:rsidRDefault="00C526CA" w:rsidP="00C526C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5 заседаний Ленинградской областной трехсторонней комиссии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- ЛОТК), на которых рассматривались проекты областных законов «Об охране труда в Ленинградской области», «О внесении изменений в областной закон Ленинградской области от 15.10.2003 № 74-оз «О квотировании рабочих мест  для трудоустройства инвалидов в Ленинградской области», основные параметры проекта областного бюджета Ленинградской области на 2018 год и плановый период 2019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2020 годов;  вопросы выполнении майских Указов Президента Российской Федерации по повышению заработной платы  отдельных категорий работников бюджетной сферы  Ленинградской области;  профилактики клещевого энцефалита и клещевого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области; организации детской оздоровительной кампании в 2017 году;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работодателей внебюджетного сектора экономики в организации временного трудоустройства несовершеннолетних граждан в возрасте от 14 до 18 лет в свободное от учебы время; взаимодействия Отделения Пенсионного фонда Российской Федерации по Санкт-Петербургу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Ленинградской области и регионального объединения работодателей «Союз промышленников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предпринимателей Ленинградской области» в р</w:t>
      </w:r>
      <w:r w:rsidR="00B9591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заключенного соглашения;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заработной плате  в хозяйствующих субъектах Ленинградской области;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 работодателей от присоединения к региональному соглашению о минимальной заработной плате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на 2017 год</w:t>
      </w:r>
      <w:r w:rsidRPr="009A32F4">
        <w:t xml:space="preserve">;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рынке труда в моногородах Ленинградской области;</w:t>
      </w:r>
      <w:r w:rsidRPr="009A32F4"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реализации мероприятий долгосрочной целевой программы «Устойчивое развитие сельских территорий Ленинградской области на 2014-2017 годы и на период до 2020 года»; итоги социально-экономического развития Ленинградской области в 2016 году;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ситуации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Ленинградской области, допустивших случаи тяжелого травматизма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травматизма со смертельным исходом и другие вопросы.</w:t>
      </w:r>
    </w:p>
    <w:p w:rsidR="00C526CA" w:rsidRPr="009A32F4" w:rsidRDefault="00C526CA" w:rsidP="00C526C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ЛОТК организованы и проведены коллективные переговоры по подготовке проектов регионального соглашения о минимальной заработной плате в Ленинградской области на 2018 год и обязатель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2018 год к рамочному Ленинградскому трехстороннему соглашению о проведении социально-экономической политики и развитии социального партнерства на 2016-2018 годы.</w:t>
      </w:r>
    </w:p>
    <w:p w:rsidR="00C526CA" w:rsidRPr="009A32F4" w:rsidRDefault="00C526CA" w:rsidP="00C526C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21.09.2017 подписаны Губернатором Ленинградской области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А.Ю.Дрозденко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генеральным директором регионального объединения работодателей «Союз промышленников и предпринимателей Ленинградской области»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А.Ф.Габитовым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председателем общественной организации Межрегиональное Санкт-Петербурга и Ленинградской области объединение организаций профсоюзов «Ленинградская Федерация Профсоюзов»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В.Г.Дербиным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26CA" w:rsidRPr="009A32F4" w:rsidRDefault="00C526CA" w:rsidP="00C5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на душу населения и по основным социально-демографическим группам населения за </w:t>
      </w:r>
      <w:r w:rsidRPr="009A3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2016 года, </w:t>
      </w:r>
      <w:r w:rsidRPr="009A3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3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кварталы 2017 года утверждена постановлениями Правительства Ленинградской области соответственно от 13.02.2017 № 20, от 06.06.2017 №197 и от10.08.2017 №322. </w:t>
      </w:r>
    </w:p>
    <w:p w:rsidR="00C526CA" w:rsidRPr="009A32F4" w:rsidRDefault="00C526CA" w:rsidP="00C5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06.03.2017 № 46. </w:t>
      </w:r>
    </w:p>
    <w:p w:rsidR="00C526CA" w:rsidRPr="009A32F4" w:rsidRDefault="00C526CA" w:rsidP="00C5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размещения информации о среднемесячной заработной плате руководителей,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заместителей и главных бухгалтеров территориального фонда обязательного медицинского страхования Ленинградской области, государственных учреждений Ленинградской области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государственных унитарных предприятий Ленинградской области утвержден постановлением Правительства Ленинградской области от 13.03.2017 № 56. </w:t>
      </w:r>
    </w:p>
    <w:p w:rsidR="00C526CA" w:rsidRPr="009A32F4" w:rsidRDefault="00C526CA" w:rsidP="00C5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Продолжалось проведение мониторинга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договоренностей регионального соглашения о минимальной заработной плате в Ленинградской области на 2017 год.</w:t>
      </w:r>
    </w:p>
    <w:p w:rsidR="00C526CA" w:rsidRPr="009A32F4" w:rsidRDefault="00C526CA" w:rsidP="00C5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9 заседаний рабочей группы по мониторингу своевременности и полноты выплаты заработной платы хозяйствующими субъектами Ленинградской области, образованной  распоряжением комитета от 14.03.2016 № 17.</w:t>
      </w:r>
    </w:p>
    <w:p w:rsidR="00C526CA" w:rsidRPr="009A32F4" w:rsidRDefault="00C526CA" w:rsidP="00C5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и размещена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комитета информация для работников организаций Ленинградской области по обращению в суд в случае задержки работодателями выплаты заработной платы.</w:t>
      </w:r>
    </w:p>
    <w:p w:rsidR="00084096" w:rsidRDefault="00C526CA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и проведено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председательством Губернатора Ленинградской области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А.Ю.Дрозденко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19.04.2017 заседание комиссии по обеспечению устойчивого развития экономики и социальной стабильности в Ленинградской области.</w:t>
      </w:r>
    </w:p>
    <w:p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2C53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2017 года в организациях Ленинградской области зарегистрировано увеличение количества несчастных случаев производственного травматизма, особенно наблюдалось увеличение количества несчастных случаев со смертельным исходом. По всем событиям проводилось расследование несчастных случаев.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представленным данным Ленинградского регионального отделения </w:t>
      </w:r>
      <w:r w:rsidR="00924C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социального страхования РФ за 9 месяцев</w:t>
      </w:r>
      <w:r w:rsidR="0030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в организациях Ленинградской области зарегистрировано 377 несчастных случаев</w:t>
      </w:r>
      <w:r w:rsidR="0030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производстве.</w:t>
      </w:r>
    </w:p>
    <w:p w:rsidR="00084096" w:rsidRPr="00084096" w:rsidRDefault="00084096" w:rsidP="000840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8"/>
        <w:gridCol w:w="1417"/>
        <w:gridCol w:w="1099"/>
      </w:tblGrid>
      <w:tr w:rsidR="009A32F4" w:rsidRPr="009A32F4" w:rsidTr="00981717">
        <w:tc>
          <w:tcPr>
            <w:tcW w:w="6487" w:type="dxa"/>
            <w:shd w:val="clear" w:color="auto" w:fill="auto"/>
            <w:vAlign w:val="center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Категории работников по видам происшествий</w:t>
            </w:r>
            <w:r w:rsidR="00302C5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,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9 месяцев </w:t>
            </w:r>
          </w:p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2016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9 месяцев</w:t>
            </w:r>
          </w:p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2017 года</w:t>
            </w:r>
          </w:p>
        </w:tc>
        <w:tc>
          <w:tcPr>
            <w:tcW w:w="1099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+/-, человек </w:t>
            </w:r>
          </w:p>
        </w:tc>
      </w:tr>
      <w:tr w:rsidR="00084096" w:rsidRPr="009A32F4" w:rsidTr="00981717">
        <w:tc>
          <w:tcPr>
            <w:tcW w:w="6487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</w:t>
            </w:r>
            <w:r w:rsidR="00302C53">
              <w:rPr>
                <w:rFonts w:ascii="Times New Roman" w:eastAsia="Times New Roman" w:hAnsi="Times New Roman" w:cs="Times New Roman"/>
                <w:lang w:eastAsia="ru-RU"/>
              </w:rPr>
              <w:t>страдавших на производстве</w:t>
            </w:r>
          </w:p>
        </w:tc>
        <w:tc>
          <w:tcPr>
            <w:tcW w:w="1418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417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099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 xml:space="preserve">+ 15 </w:t>
            </w:r>
          </w:p>
        </w:tc>
      </w:tr>
      <w:tr w:rsidR="00084096" w:rsidRPr="009A32F4" w:rsidTr="00981717">
        <w:tc>
          <w:tcPr>
            <w:tcW w:w="6487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Количеств</w:t>
            </w:r>
            <w:r w:rsidR="00302C53">
              <w:rPr>
                <w:rFonts w:ascii="Times New Roman" w:eastAsia="Times New Roman" w:hAnsi="Times New Roman" w:cs="Times New Roman"/>
                <w:lang w:eastAsia="ru-RU"/>
              </w:rPr>
              <w:t>о погибших на производстве</w:t>
            </w:r>
          </w:p>
        </w:tc>
        <w:tc>
          <w:tcPr>
            <w:tcW w:w="1418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99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+ 16</w:t>
            </w:r>
          </w:p>
        </w:tc>
      </w:tr>
      <w:tr w:rsidR="00084096" w:rsidRPr="009A32F4" w:rsidTr="00981717">
        <w:tc>
          <w:tcPr>
            <w:tcW w:w="6487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получивших</w:t>
            </w:r>
            <w:proofErr w:type="gramEnd"/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 xml:space="preserve"> тяже</w:t>
            </w:r>
            <w:r w:rsidR="00302C53">
              <w:rPr>
                <w:rFonts w:ascii="Times New Roman" w:eastAsia="Times New Roman" w:hAnsi="Times New Roman" w:cs="Times New Roman"/>
                <w:lang w:eastAsia="ru-RU"/>
              </w:rPr>
              <w:t>лые травмы на производстве</w:t>
            </w:r>
          </w:p>
        </w:tc>
        <w:tc>
          <w:tcPr>
            <w:tcW w:w="1418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99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</w:tr>
      <w:tr w:rsidR="00084096" w:rsidRPr="009A32F4" w:rsidTr="00981717">
        <w:tc>
          <w:tcPr>
            <w:tcW w:w="6487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получивших</w:t>
            </w:r>
            <w:proofErr w:type="gramEnd"/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профессиональные заб</w:t>
            </w:r>
            <w:r w:rsidR="00302C53">
              <w:rPr>
                <w:rFonts w:ascii="Times New Roman" w:eastAsia="Times New Roman" w:hAnsi="Times New Roman" w:cs="Times New Roman"/>
                <w:lang w:eastAsia="ru-RU"/>
              </w:rPr>
              <w:t>олевания</w:t>
            </w:r>
          </w:p>
        </w:tc>
        <w:tc>
          <w:tcPr>
            <w:tcW w:w="1418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99" w:type="dxa"/>
            <w:shd w:val="clear" w:color="auto" w:fill="auto"/>
          </w:tcPr>
          <w:p w:rsidR="00084096" w:rsidRPr="009A32F4" w:rsidRDefault="00084096" w:rsidP="0098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2F4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</w:p>
        </w:tc>
      </w:tr>
    </w:tbl>
    <w:p w:rsidR="00084096" w:rsidRPr="00084096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по вопросам охраны труда за 9 месяцев                  2017 года специалисты комитета приняли участие в организации и </w:t>
      </w:r>
      <w:r w:rsidR="00C07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совместно                      с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616 мероприятий (семинаров, конференций, форумов, круглых столов, совещаний и др. мероприятий), в которых участвовало 6123 человека.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мероприятий, направленных на снижение производственного               травматизма и улучшение условий труда в организациях Ленинградской области, обеспечивалась работа Ленинградской областной и территориальных межведомственных комиссий по охране труда, по координации действий органов управления, надзора и контроля, общественных объединений по вопросам охраны труда.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организовал и провел 3 заседания областной комиссии, на которых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 актуальные вопросы охраны труда и координировалась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выполнению решений комиссии, рассматривались вопросы состояния условий труда на предприятиях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организациях Ленинградской области, уровня производственного травматизма, профессиональной заболеваемости, организации и проведения медицинских осмотров, а также реализации программ производственного контроля.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комитета приняли участие в организации и проведении 15 заседаний территориальных межведомственных комиссий по охране труда Волосовского, Волховского        (3 заседания), Всеволожского (3 заседания), Гатчинского (3 заседания), Кировского,  Ломоносовского, Приозерского, Сланцевского и Тосненского муниципальных районов, где были представлены информационные показатели по вопросам охраны труда в Ленинградской области.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участвовал в Региональном чемпионате «Молодые профессионалы» Ленинградской области 2017» (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 В рамках чемпионата проведена презентация передвижного мобильного комплекса по охране труда, а также деловая игра и обучающий семинар по охране труда на тему «Территория безопасного труда» с развёртыванием и демонстрацией комплекса на базе ГБОУ СПО ЛО «Кировский политехнический техникум» (Кировский муниципальный район).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за счет бюджетных средств Ленинградской области, организовано и проведено   12 деловых игр и обучающих семинаров по охране труда на тему «Территория безопасного труда» с развёртыванием и демонстрацией передвижного мобильного комплекса по охране труда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муниципальных образованиях Ленинградской области.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проведены на базе образовательных учреждений Ленинградской области,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приняли участие 875 учащихся     и студентов образовательных учреждений.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организован автопробег мобильного комплекса из Ленинградской области в город Сочи, где состоялась его презентация в рамках участия во «Всероссийской неделе охраны труда». По пути проведены три обучающих семинара для учащихся в городах Великий Новгород, Москва, Краснодар, в которых участвовали более 400 старшеклассников.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    с организациями, проводившими обучение по охране труда, проверку знаний требований охраны труда на территории Ленинградской области.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2017 года на территории Ленинградской области прошли обучение и проверку знаний требований охраны труда 8984 человека, из них: 1507 руководителей организаций.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2017 года специалисты отдела охраны труда и социального партнёрства комитета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и провели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выездных семинаров на тему: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современная экономика охраны труда в условиях совершенствования законодательного регулирования», в которых приняли участие 742 человека.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прав работников на получение объективной информации об условиях и охране труда на рабочих местах специалистами комитета проведены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государственных экспертиз условий труда на 50 рабочих местах (количество занятых на них работников – 110), в том числе, в целях оценки: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проведения специальной оценки условий труда – 4 экспертизы на 49 рабочих местах (количество занятых на них работников – 109</w:t>
      </w:r>
      <w:r w:rsidR="00C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условий труда – 1 экспертиза на 1 рабочем месте (количество занятых работников – 1 человек).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мероприятия по совершенствованию региональной нормативной правовой базы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принят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правовой акт комитета, регламентирующий вопросы оплаты государственной экспертизы условий труда, а также проводился ежемесячный мониторинг законодательства в области охраны труда.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представителей комитета прошла XV Конференция «Актуальные вопросы охраны труда: внедрение системы управления охраной труда на предприятии», организованная 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Северо-Западной ассоциации «Безопасный труд» и группой компаний «Восток-Сервис».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проведена в целях продуктивного диалога между участниками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представителями органов власти, повышения уровня информированности работодателей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об изменениях в трудовом законодательстве, об особенностях применения профессиональных стандартов, поиска совместных решений по основным проблемам в сфере трудовых отношений и охраны труда.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комитета состоялась ежегодная конференция, посвященная Всемирному дню охраны труда. Тема конференции в этом году – «Оптимизация, сбор и использование данных по охране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труда». Организаторами конференции выступила компания                                         «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Техноавиа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-Санкт-Петербург». Для участников конференции (специалистов по охране труда                     и руководителей организаций) была подготовлена обширная программа. Компания                       «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Техноавиа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-Санкт-Петербург» (постоянный спонсор мероприятия) провела традиционный показ одежды производства компании «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Техноавиа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конкурс на правильные ответы по охране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труда.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подпрограммы «Улучшение условий и охраны труда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области» специалисты комитета участвовали в  семинаре – совещании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проведения специальной оценки условий труда, государственной экспертизы условий труда, организованном и проведенном комитетом по социальной защите Ленинградской области,  в проведении круглого стола на тему: «Безопасность труда в строительстве», организованного комитетом по строительству Ленинградской области и союзом строительных организаций Ленинградской области – «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ЛенОблСоюзСтрой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представители комитета на Молодежном  образовательном форуме Северо-Западного федерального округа «Ладога-2017» (пос.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Смолячково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Санкт-Петербург) представили презентацию образовательного квеста по охране труда службы занятости в рамках расширения работы демонстрации мобильного комплекса по охране труда.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участие представителей комитета и администраций муниципальных районов в работе комиссий по расследованию несчастных случаев на производстве с тяжёлым 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смертельным исходом в 136 организациях Ленинградской области.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проводимого ежеквартально мониторинга состояния условий и охраны труда, производственного травматизма и профессиональной заболеваемости в Ленинградской области подготовлена обзорная информация «Состояние охраны труда в Ленинградской области за 9 месяцев 2017 года», которая, направляется руководителям органов исполнительной власти, главам администраций муниципальных районов Ленинградской области, обучающим организациям по охране труда, Ленинградскому региональному отделению </w:t>
      </w:r>
      <w:r w:rsidR="00C079C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социального страхования РФ, региональному объединению работодателей «Союз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промышленников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предпринимателей Ленинградской области», Ленинградской Федерации Профсоюзов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сайте комитета </w:t>
      </w:r>
      <w:hyperlink r:id="rId17" w:history="1">
        <w:r w:rsidRPr="009A32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www.job.lenobl.ru</w:t>
        </w:r>
      </w:hyperlink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4096" w:rsidRPr="009A32F4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по информационному обеспечению и пропаганде охраны труда реализовывалось путем размещения на территории муниципальных районов Ленинградской области информационных материалов по охране труда (баннеров) с финансированием за счет бюджетных средств, а также путём еженедельного администрирования и обновления регионального интернет – ресурса  «Справочная информационная система охраны труда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области» </w:t>
      </w:r>
      <w:hyperlink r:id="rId18" w:history="1">
        <w:r w:rsidRPr="009A32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www.охранатрудавленобласти.рф</w:t>
        </w:r>
      </w:hyperlink>
    </w:p>
    <w:p w:rsidR="00084096" w:rsidRPr="00D33A66" w:rsidRDefault="00084096" w:rsidP="0008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F0BA9" w:rsidRPr="000F4525" w:rsidRDefault="00DF0BA9" w:rsidP="00B9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CD7E8F" w:rsidRPr="00262A4E" w:rsidRDefault="00CD7E8F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C22CA" w:rsidRPr="009A32F4" w:rsidRDefault="00DC22CA" w:rsidP="00DC2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 комитетом рассмотрено 97 запросов ГУ М</w:t>
      </w:r>
      <w:r w:rsidR="0012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 России                              по Санкт-Петербургу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Ленинградской области о выдаче заключений о привлечении </w:t>
      </w:r>
      <w:r w:rsidR="0012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</w:t>
      </w:r>
      <w:r w:rsidR="0012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1724 иностранных специалистов.</w:t>
      </w:r>
    </w:p>
    <w:p w:rsidR="00DC22CA" w:rsidRPr="009A32F4" w:rsidRDefault="00DC22CA" w:rsidP="00DC2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 период с января по октябрь</w:t>
      </w:r>
      <w:r w:rsidR="001E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выдано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96 заключений о целесообразности привлечения и использовани</w:t>
      </w:r>
      <w:r w:rsidR="00A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я 1722 иностранных работника</w:t>
      </w:r>
      <w:r w:rsidR="008435F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DB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1520 по квотируемым специальностям.</w:t>
      </w:r>
    </w:p>
    <w:p w:rsidR="00575E0E" w:rsidRPr="009A32F4" w:rsidRDefault="00DC22CA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работники востребованы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районы Ленинградской области:</w:t>
      </w:r>
    </w:p>
    <w:p w:rsidR="00575E0E" w:rsidRPr="009A32F4" w:rsidRDefault="00150399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Кингисеппский – 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917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150399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– 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="000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(19,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4E0E4D" w:rsidRPr="009A32F4" w:rsidRDefault="004E0E4D" w:rsidP="004E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– 121 человек (7,1%);</w:t>
      </w:r>
    </w:p>
    <w:p w:rsidR="00575E0E" w:rsidRPr="009A32F4" w:rsidRDefault="00150399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– 1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150399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Гатчинский – 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0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E0E4D" w:rsidRPr="009A32F4" w:rsidRDefault="004E0E4D" w:rsidP="004E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 – 83 человека (4,8%);</w:t>
      </w:r>
    </w:p>
    <w:p w:rsidR="00575E0E" w:rsidRPr="009A32F4" w:rsidRDefault="00150399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– 1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0E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Волховский – 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039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E0E4D" w:rsidRPr="009A32F4" w:rsidRDefault="004E0E4D" w:rsidP="004E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– 7 человек (0,4%);</w:t>
      </w:r>
    </w:p>
    <w:p w:rsidR="00575E0E" w:rsidRPr="009A32F4" w:rsidRDefault="00150399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 – 5 человек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</w:t>
      </w:r>
      <w:r w:rsidR="00DC22C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E0E4D" w:rsidRPr="009A32F4" w:rsidRDefault="004E0E4D" w:rsidP="004E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– 4 человека (0,2%)</w:t>
      </w:r>
    </w:p>
    <w:p w:rsidR="00575E0E" w:rsidRPr="009A32F4" w:rsidRDefault="00150399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 – 1 человек</w:t>
      </w:r>
      <w:r w:rsidR="001E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(0,1%).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работники востребованы из 3</w:t>
      </w:r>
      <w:r w:rsidR="004E0E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Наибольшее количество иностранных работников работодатели планируют привлечь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Сербии – </w:t>
      </w:r>
      <w:r w:rsidR="004E0E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876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4E0E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50,8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 для осуществления трудовой деятельности</w:t>
      </w:r>
      <w:r w:rsidR="004E0E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строительства;</w:t>
      </w:r>
    </w:p>
    <w:p w:rsidR="004E0E4D" w:rsidRPr="009A32F4" w:rsidRDefault="004E0E4D" w:rsidP="004E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Вьетнам</w:t>
      </w:r>
      <w:r w:rsidR="00714DC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185 человек (10,7%) для осуществления трудовой деятельности в сфере обрабатывающего производства.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КНДР – </w:t>
      </w:r>
      <w:r w:rsidR="004E0E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</w:t>
      </w:r>
      <w:r w:rsidR="004E0E4D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для трудоустройства в сфере строительства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обрабатывающего производства;</w:t>
      </w:r>
    </w:p>
    <w:p w:rsidR="004E0E4D" w:rsidRPr="009A32F4" w:rsidRDefault="004E0E4D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</w:t>
      </w:r>
      <w:r w:rsidR="00714DC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115 человек (6,7%) для </w:t>
      </w:r>
      <w:r w:rsidR="00714DC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сельскохозяйственной сфере</w:t>
      </w:r>
      <w:r w:rsidR="00714DC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E0E" w:rsidRPr="009A32F4" w:rsidRDefault="001E73C1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омитетом согласовано прив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иностранных работников </w:t>
      </w:r>
      <w:r w:rsidR="00575E0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стран с визовым порядком въезда в РФ по следующим видам экономической деятельности: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1</w:t>
      </w:r>
      <w:r w:rsidR="00714DC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4DC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68,</w:t>
      </w:r>
      <w:r w:rsidR="00262A4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</w:t>
      </w:r>
      <w:r w:rsidR="00714DC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52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4DC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14,6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8</w:t>
      </w:r>
      <w:r w:rsidR="0016540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16540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37 человек (2,</w:t>
      </w:r>
      <w:r w:rsidR="00A33F4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575E0E" w:rsidP="00165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мотоциклов – </w:t>
      </w:r>
      <w:r w:rsidR="0016540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16540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 хозяйство, охота, рыболовство и рыбоводство – 1</w:t>
      </w:r>
      <w:r w:rsidR="0016540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16540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262A4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административная и сопутствующие дополнительные услуги – </w:t>
      </w:r>
      <w:r w:rsidR="000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3F4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(1%);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10 человек (0,</w:t>
      </w:r>
      <w:r w:rsidR="00A33F4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1E73C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прочих видов услуг – </w:t>
      </w:r>
      <w:r w:rsidR="0016540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(0,4%)</w:t>
      </w:r>
      <w:r w:rsidR="001E73C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культуры, спорта, организации досуга и развлечений –                                  </w:t>
      </w:r>
      <w:r w:rsidR="00A33F4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(0</w:t>
      </w:r>
      <w:r w:rsidR="00A33F44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3F44" w:rsidRPr="009A32F4" w:rsidRDefault="00A33F44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гостиниц и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преприятий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 – 1 </w:t>
      </w:r>
      <w:r w:rsidR="0016540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(0,05%);</w:t>
      </w:r>
    </w:p>
    <w:p w:rsidR="00165401" w:rsidRPr="009A32F4" w:rsidRDefault="00165401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электрической энергией, газом и паром;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кондиционированние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– </w:t>
      </w:r>
      <w:r w:rsidR="000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(0,05%).</w:t>
      </w:r>
    </w:p>
    <w:p w:rsidR="00575E0E" w:rsidRPr="009A32F4" w:rsidRDefault="00575E0E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вост</w:t>
      </w:r>
      <w:r w:rsidR="001E73C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ребованных специалистов </w:t>
      </w:r>
      <w:r w:rsidR="00262A4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1E73C1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62A4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2A4E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11,8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привлекаются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неквотируемым</w:t>
      </w:r>
      <w:proofErr w:type="spell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(должностям).</w:t>
      </w:r>
    </w:p>
    <w:p w:rsidR="00994B41" w:rsidRPr="00262A4E" w:rsidRDefault="00994B41" w:rsidP="0057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B91B40" w:rsidRPr="00B91B40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C52" w:rsidRPr="009A32F4" w:rsidRDefault="00AF5C52" w:rsidP="00AF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Ленинградской области продолжается реализация подпрограммы «Оказание содействия добровольному переселению в 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Цель подпрограммы - создание благоприятных условий для переселения на территорию Ленинградской области соотечественников, проживающих за рубежом.</w:t>
      </w:r>
    </w:p>
    <w:p w:rsidR="00CD7E8F" w:rsidRPr="009A32F4" w:rsidRDefault="008435FD" w:rsidP="00CD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комитет от Управления по вопросам миграции ГУ МВД России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и Ленинградской области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на рассмотрение 1441 копия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соотечественников об участии в Государственной программе по оказанию содействия добровольному переселению в Российскую Федерацию</w:t>
      </w:r>
      <w:r w:rsidR="00985EA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соотечественников, проживающих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85EA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рубежом, из которых: 798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4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согласованы, 623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4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отклонены, 20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4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в администрации муниципальных районов и администрацию городского округа</w:t>
      </w:r>
      <w:proofErr w:type="gramEnd"/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рассмотрения.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выделены субсидии в размере 3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>606,80 тыс. руб., в том числе 1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118,10 тыс. р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из федерального бюджета и 2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488,70 тыс. руб. из областного бюджета на реализацию одного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мероприятий подпрограммы «Создание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связи региона».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средства предусмотрены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потенциальных участников подпрограммы, проживающих как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рубежом, так и на территории Российской Федерации, путем создания, сопровождения, дальнейшего продвижения информационного портала, со</w:t>
      </w:r>
      <w:r w:rsidR="00DC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трансляции видеосюжетов, изготовления печатной информационной продукции;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обучение прибывших в Ленинградскую область участников подпрограммы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быстрого их включения в трудовые и социальные связи региона, адаптации участников подпрограммы и членов их семьи.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запланированных мероприятий:</w:t>
      </w:r>
    </w:p>
    <w:p w:rsidR="00213882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издана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памятка для потенциальных участников, которая выдается потенциальным участникам подпрограммы на консультациях в уполномоченном органе.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памятка направлена в представительства МВД России за рубежом, а также дост</w:t>
      </w:r>
      <w:r w:rsidR="00213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упна на информационном портале;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информационный портал для потенциальных участников и прибывших соотечественников, который в настоящее время уже доступ</w:t>
      </w:r>
      <w:bookmarkStart w:id="1" w:name="_GoBack"/>
      <w:bookmarkEnd w:id="1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для всех желающих по адресу: www.территориятруда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 или www.tt47.ru и ежедневно наполняется информацией;</w:t>
      </w:r>
    </w:p>
    <w:p w:rsidR="009571DA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реализуется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обучения для прибывших соотечественников «Основы правовых, организационных, социально-экономических знаний, способствующих быстрому включе</w:t>
      </w:r>
      <w:r w:rsidR="001D0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соотечественников в трудовые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социальные отношения Ленинградской области», которая включает учебные модули: «История, культура и традиции Российской Федерации и Ленинградской области», «Ленинградская область: современность и перспективы развития», «Основные вопросы законодательства Российской Федерации», «Трудоустройство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области», «Охрана труда и безопасность жизнедеятельности», «Социокультурная адаптация и интеграция». Дополнительно в рамках обучения соотечественники по необходимости 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юридическую помощь и психологическую поддержу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9 месяцев 2017 года обучение прошли 84 соотечественника. До конца года планируется обучить 400 человек.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целью эффективной реализации подпрограммы с начала 2017 года проведены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видеоконференции с участием представителей Управления по вопросам миграции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МВД России по Санкт-Петербургу и Ленинградской области, представительства МВД России за рубежом и службы занятости населения Ленинградской области: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31.01.2017 с Молдовой;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15.03.2017 с Латвией;</w:t>
      </w:r>
    </w:p>
    <w:p w:rsidR="00985EA6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27.04.2017 и 25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.08.2017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Казахстаном.</w:t>
      </w:r>
    </w:p>
    <w:p w:rsidR="00CD7E8F" w:rsidRPr="009A32F4" w:rsidRDefault="00CD7E8F" w:rsidP="00CD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медицинские организации государственной системы здравоохранения Ленинградской области обратились за получе</w:t>
      </w:r>
      <w:r w:rsidR="00EB526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медицинского обслуживания 90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подпрограммы</w:t>
      </w:r>
      <w:r w:rsidR="00EB526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B526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205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EB526A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семей. </w:t>
      </w:r>
    </w:p>
    <w:p w:rsidR="00CD7E8F" w:rsidRPr="009A32F4" w:rsidRDefault="008435FD" w:rsidP="00CD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прибывших в январе-сентябре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участников и членов семьи подпрограммы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 </w:t>
      </w:r>
      <w:proofErr w:type="gramStart"/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 и по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лучают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9E752B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Ленинградской области.</w:t>
      </w:r>
    </w:p>
    <w:p w:rsidR="00EA607E" w:rsidRPr="009A32F4" w:rsidRDefault="00EA607E" w:rsidP="00EA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мерами социальной поддержки в органы социальной защиты населения по месту жительств</w:t>
      </w: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пребывания) обратились 3 семьи добровольных переселенцев, проживающих в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Всеволожском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47B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Гатчинском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B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F9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г. Сосновый Бор.</w:t>
      </w:r>
    </w:p>
    <w:p w:rsidR="00AF5C52" w:rsidRPr="009A32F4" w:rsidRDefault="00CD7E8F" w:rsidP="00CD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развитию малого, среднего бизнеса и потребительского рынка Ленинградской области </w:t>
      </w:r>
      <w:r w:rsidR="00AF5C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квартале 2017 года продолжил работу по организации процесса оказания участникам подпрограммы консультационной, информационной, обучающей поддержки</w:t>
      </w:r>
      <w:r w:rsidR="00B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F5C52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создания бизнеса на территории Ленинградской области. </w:t>
      </w:r>
    </w:p>
    <w:p w:rsidR="00CD7E8F" w:rsidRPr="009A32F4" w:rsidRDefault="00CD7E8F" w:rsidP="00AF5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дополнительного стимулирования организаций муниципальной инфраструктуры поддержки предпринимательства Ленинградской области по оказанию услуг на безвозмездной основе участникам подпрограммы комитетом по развитию малого, среднего бизнеса</w:t>
      </w:r>
      <w:r w:rsidR="00985EA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потребительского рынка Ленинградской области разработан порядок предоставления субсидий организациям муниципальной инфраструктуры поддержки предпринимательства, предусматривающий возможность возмещения части затрат организаций на оказание безвозмездных информационных, консультационных </w:t>
      </w:r>
      <w:r w:rsidR="0025752C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услуг в сфере предпринимательской деятельности не только субъектам</w:t>
      </w:r>
      <w:proofErr w:type="gramEnd"/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</w:t>
      </w:r>
      <w:r w:rsidR="00985EA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среднего предпринимательств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гражданам России, планирующим создать свой бизнес, </w:t>
      </w:r>
      <w:r w:rsidR="00B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участникам подпрограммы и членам их семей (постановление Правительства Ленинградской области от 12.07.2016 № 235).</w:t>
      </w:r>
    </w:p>
    <w:p w:rsidR="00CD7E8F" w:rsidRPr="009A32F4" w:rsidRDefault="00AF5C52" w:rsidP="00CD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Ломоносовский фонд устойчивого развития «Бизнес – центр» обратилась </w:t>
      </w:r>
      <w:proofErr w:type="spellStart"/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Воронюк</w:t>
      </w:r>
      <w:proofErr w:type="spellEnd"/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</w:t>
      </w:r>
      <w:proofErr w:type="gramStart"/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семинаре «Предпринимательство, как способ самозанятости», организованном совместно с Ломоносовским филиалом ГКУ ЦЗН ЛО. </w:t>
      </w:r>
      <w:proofErr w:type="spellStart"/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Воронюк</w:t>
      </w:r>
      <w:proofErr w:type="spellEnd"/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выразила готовность принять участие в учебно-методическом курсе «Начинающий предприниматель».</w:t>
      </w:r>
    </w:p>
    <w:p w:rsidR="00CD7E8F" w:rsidRPr="009A32F4" w:rsidRDefault="00AF5C52" w:rsidP="00CD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прибыли на территорию Ленинградской области и поставлены</w:t>
      </w:r>
      <w:r w:rsidR="001270C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УВМ ГУ МВД России по Санкт-Петербургу и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1814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1270C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85EA6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754 участника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и 1060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1270C8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7E8F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их семей. </w:t>
      </w:r>
    </w:p>
    <w:p w:rsidR="00DC11AD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прибывших в 2017 году участников подпрограммы</w:t>
      </w:r>
      <w:r w:rsidR="00DC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258 чел</w:t>
      </w:r>
      <w:r w:rsidR="00DC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 </w:t>
      </w:r>
      <w:r w:rsidR="00B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(34%) трудоустроены на предприятиях Ленинградской области. </w:t>
      </w:r>
    </w:p>
    <w:p w:rsidR="00AB4A3D" w:rsidRPr="009A32F4" w:rsidRDefault="00985EA6" w:rsidP="0098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A3D" w:rsidRPr="009A32F4" w:rsidSect="000F4525">
          <w:headerReference w:type="even" r:id="rId19"/>
          <w:headerReference w:type="default" r:id="rId20"/>
          <w:headerReference w:type="first" r:id="rId21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  <w:r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профессии: медицинская сестра, менеджер, электрогазосварщик, слесарь по сборке металлоконструкций, инженер, кассир, воспитатель</w:t>
      </w:r>
      <w:r w:rsid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06"/>
        <w:gridCol w:w="1564"/>
        <w:gridCol w:w="488"/>
        <w:gridCol w:w="1071"/>
        <w:gridCol w:w="168"/>
        <w:gridCol w:w="1598"/>
        <w:gridCol w:w="1259"/>
        <w:gridCol w:w="1359"/>
        <w:gridCol w:w="1339"/>
        <w:gridCol w:w="1219"/>
        <w:gridCol w:w="416"/>
        <w:gridCol w:w="1572"/>
        <w:gridCol w:w="284"/>
      </w:tblGrid>
      <w:tr w:rsidR="00A47C76" w:rsidRPr="00A47C76" w:rsidTr="00A47C76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A47C76" w:rsidRPr="00A47C76" w:rsidTr="00A47C76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C76" w:rsidRPr="00A47C76" w:rsidTr="00A47C76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A47C76" w:rsidRPr="00A47C76" w:rsidTr="00A47C76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9 месяцев 2016-2017 гг.</w:t>
            </w:r>
          </w:p>
        </w:tc>
      </w:tr>
      <w:tr w:rsidR="00A47C76" w:rsidRPr="00A47C76" w:rsidTr="00A47C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A47C76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  к 01.10.16,               %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  к 01.01.17,             %</w:t>
            </w:r>
          </w:p>
        </w:tc>
        <w:tc>
          <w:tcPr>
            <w:tcW w:w="284" w:type="dxa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A47C76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2017  к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6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A47C76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 2016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2017 года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2016,</w:t>
            </w:r>
          </w:p>
        </w:tc>
        <w:tc>
          <w:tcPr>
            <w:tcW w:w="39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A47C76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01.10.17</w:t>
            </w:r>
          </w:p>
        </w:tc>
        <w:tc>
          <w:tcPr>
            <w:tcW w:w="16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A47C76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B9" w:rsidRPr="00A47C76" w:rsidTr="00A47C76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23583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23334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5459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A47C76" w:rsidRDefault="005C06B9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6B9" w:rsidRPr="005C06B9" w:rsidRDefault="005C06B9" w:rsidP="005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284" w:type="dxa"/>
            <w:vAlign w:val="center"/>
            <w:hideMark/>
          </w:tcPr>
          <w:p w:rsidR="005C06B9" w:rsidRPr="00A47C76" w:rsidRDefault="005C06B9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A8" w:rsidRDefault="003A0DA8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709"/>
        <w:gridCol w:w="2605"/>
        <w:gridCol w:w="1240"/>
        <w:gridCol w:w="1542"/>
        <w:gridCol w:w="1622"/>
        <w:gridCol w:w="1260"/>
        <w:gridCol w:w="236"/>
        <w:gridCol w:w="1124"/>
        <w:gridCol w:w="294"/>
        <w:gridCol w:w="1417"/>
        <w:gridCol w:w="1418"/>
        <w:gridCol w:w="1559"/>
      </w:tblGrid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A47C76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7B3A7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7B3A71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0E0438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</w:t>
            </w:r>
            <w:r w:rsidR="00A47C76"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.17 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E5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</w:t>
            </w:r>
            <w:r w:rsidR="00E56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A47C76" w:rsidRPr="00A47C76" w:rsidTr="007B3A71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7B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2017 к            9 мес. 2016, %</w:t>
            </w:r>
          </w:p>
        </w:tc>
        <w:tc>
          <w:tcPr>
            <w:tcW w:w="43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0E0438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</w:t>
            </w:r>
            <w:r w:rsidR="00A47C76"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.16,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01.01.17,</w:t>
            </w:r>
          </w:p>
        </w:tc>
      </w:tr>
      <w:tr w:rsidR="007B3A71" w:rsidRPr="00A47C76" w:rsidTr="007B3A71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 2016 года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  2017 года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B3A71" w:rsidRPr="00A47C76" w:rsidTr="007B3A71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B3A71" w:rsidRPr="00A47C76" w:rsidTr="007B3A71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7B3A71" w:rsidRPr="00A47C76" w:rsidTr="007B3A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7B3A71" w:rsidRPr="00A47C76" w:rsidTr="007B3A71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7B3A71" w:rsidRPr="00A47C76" w:rsidTr="007B3A71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8295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</w:tbl>
    <w:p w:rsidR="004D7B92" w:rsidRPr="00500642" w:rsidRDefault="004D7B92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28663E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Pr="00500642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8663E" w:rsidRPr="00500642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W w:w="14318" w:type="dxa"/>
        <w:tblInd w:w="-176" w:type="dxa"/>
        <w:tblLook w:val="04A0" w:firstRow="1" w:lastRow="0" w:firstColumn="1" w:lastColumn="0" w:noHBand="0" w:noVBand="1"/>
      </w:tblPr>
      <w:tblGrid>
        <w:gridCol w:w="568"/>
        <w:gridCol w:w="2561"/>
        <w:gridCol w:w="1920"/>
        <w:gridCol w:w="2181"/>
        <w:gridCol w:w="2268"/>
        <w:gridCol w:w="2071"/>
        <w:gridCol w:w="339"/>
        <w:gridCol w:w="2410"/>
      </w:tblGrid>
      <w:tr w:rsidR="00A47C76" w:rsidRPr="00A47C76" w:rsidTr="00D3595B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A47C76" w:rsidRPr="00A47C76" w:rsidTr="00D3595B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56832" w:rsidRPr="00A47C76" w:rsidTr="00D359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832" w:rsidRPr="00A47C76" w:rsidRDefault="00E56832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832" w:rsidRPr="00A47C76" w:rsidRDefault="00E56832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832" w:rsidRPr="00A47C76" w:rsidRDefault="00E56832" w:rsidP="00E5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832" w:rsidRPr="00A47C76" w:rsidRDefault="00E56832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мес. 2017 года к </w:t>
            </w: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9 мес. 2016 года, %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832" w:rsidRPr="00A47C76" w:rsidRDefault="00E56832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E56832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832" w:rsidRPr="00A47C76" w:rsidRDefault="00E56832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832" w:rsidRPr="00A47C76" w:rsidRDefault="00E56832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1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832" w:rsidRPr="00A47C76" w:rsidRDefault="00E56832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832" w:rsidRPr="00A47C76" w:rsidRDefault="00E56832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832" w:rsidRPr="00A47C76" w:rsidRDefault="00E56832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2016 года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2017 года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2016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2017 года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47C76" w:rsidRPr="00A47C76" w:rsidTr="00D3595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16166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C76" w:rsidRPr="00A47C76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71,3</w:t>
            </w:r>
          </w:p>
        </w:tc>
      </w:tr>
    </w:tbl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5313" w:type="dxa"/>
        <w:tblInd w:w="-318" w:type="dxa"/>
        <w:tblLook w:val="04A0" w:firstRow="1" w:lastRow="0" w:firstColumn="1" w:lastColumn="0" w:noHBand="0" w:noVBand="1"/>
      </w:tblPr>
      <w:tblGrid>
        <w:gridCol w:w="568"/>
        <w:gridCol w:w="2426"/>
        <w:gridCol w:w="1056"/>
        <w:gridCol w:w="1056"/>
        <w:gridCol w:w="1056"/>
        <w:gridCol w:w="1064"/>
        <w:gridCol w:w="216"/>
        <w:gridCol w:w="1283"/>
        <w:gridCol w:w="1020"/>
        <w:gridCol w:w="216"/>
        <w:gridCol w:w="949"/>
        <w:gridCol w:w="216"/>
        <w:gridCol w:w="1001"/>
        <w:gridCol w:w="216"/>
        <w:gridCol w:w="1246"/>
        <w:gridCol w:w="216"/>
        <w:gridCol w:w="1508"/>
      </w:tblGrid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6F125B" w:rsidRPr="006F125B" w:rsidTr="006F125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25B" w:rsidRPr="006F125B" w:rsidTr="006F125B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25B" w:rsidRPr="006F125B" w:rsidTr="006F125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7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5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6F125B" w:rsidRPr="006F125B" w:rsidTr="006F125B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 к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 к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C76" w:rsidRPr="006F125B" w:rsidRDefault="00A47C76" w:rsidP="006F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C76" w:rsidRPr="006F125B" w:rsidRDefault="00A47C76" w:rsidP="006F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01.10.16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01.10.16,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01.01.17, 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01.10.16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6F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01.10.17</w:t>
            </w:r>
          </w:p>
        </w:tc>
        <w:tc>
          <w:tcPr>
            <w:tcW w:w="14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25B" w:rsidRPr="006F125B" w:rsidTr="006F12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01.10.17-01.10.16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01.10.17-01.01.17</w:t>
            </w:r>
          </w:p>
        </w:tc>
      </w:tr>
      <w:tr w:rsidR="006F125B" w:rsidRPr="006F125B" w:rsidTr="006F125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-0,26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-0,23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-0,27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6F125B" w:rsidRPr="006F125B" w:rsidTr="006F125B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</w:t>
            </w:r>
          </w:p>
        </w:tc>
      </w:tr>
      <w:tr w:rsidR="006F125B" w:rsidRPr="006F125B" w:rsidTr="006F125B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F125B" w:rsidRPr="006F125B" w:rsidTr="006F125B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18377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21671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C76" w:rsidRPr="006F125B" w:rsidRDefault="00A47C76" w:rsidP="00A4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-0,05</w:t>
            </w:r>
          </w:p>
        </w:tc>
      </w:tr>
    </w:tbl>
    <w:p w:rsidR="00E36F67" w:rsidRDefault="00E36F67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214CA5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214CA5" w:rsidP="00214C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11263" cy="6200632"/>
            <wp:effectExtent l="0" t="0" r="0" b="0"/>
            <wp:docPr id="3" name="Рисунок 3" descr="C:\Users\lyd_anl\Desktop\скрин\Скриншот 18-10-2017 113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8-10-2017 1136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531" cy="62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5FF5" w:rsidRDefault="004F5FF5" w:rsidP="00F07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77F03" w:rsidRPr="00F35072" w:rsidRDefault="00EA0A39" w:rsidP="00EA0A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color w:val="002060"/>
          <w:sz w:val="20"/>
          <w:szCs w:val="20"/>
          <w:lang w:eastAsia="ru-RU"/>
        </w:rPr>
        <w:drawing>
          <wp:inline distT="0" distB="0" distL="0" distR="0" wp14:anchorId="44C6A266" wp14:editId="13510F67">
            <wp:extent cx="9463134" cy="6289481"/>
            <wp:effectExtent l="0" t="0" r="5080" b="0"/>
            <wp:docPr id="6" name="Рисунок 6" descr="C:\Users\lyd_anl\Desktop\скрин\Скриншот 03-10-2017 175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10-2017 17555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036" cy="62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96" w:rsidRPr="00F35072" w:rsidRDefault="000840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C6" w:rsidRDefault="006C72C6">
      <w:pPr>
        <w:spacing w:after="0" w:line="240" w:lineRule="auto"/>
      </w:pPr>
      <w:r>
        <w:separator/>
      </w:r>
    </w:p>
  </w:endnote>
  <w:endnote w:type="continuationSeparator" w:id="0">
    <w:p w:rsidR="006C72C6" w:rsidRDefault="006C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C6" w:rsidRDefault="006C72C6">
      <w:pPr>
        <w:spacing w:after="0" w:line="240" w:lineRule="auto"/>
      </w:pPr>
      <w:r>
        <w:separator/>
      </w:r>
    </w:p>
  </w:footnote>
  <w:footnote w:type="continuationSeparator" w:id="0">
    <w:p w:rsidR="006C72C6" w:rsidRDefault="006C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6" w:rsidRDefault="006C7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72C6" w:rsidRDefault="006C72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6" w:rsidRDefault="006C72C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00FD">
      <w:rPr>
        <w:noProof/>
      </w:rPr>
      <w:t>23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6" w:rsidRDefault="006C72C6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7088"/>
    <w:rsid w:val="0001053C"/>
    <w:rsid w:val="000121B2"/>
    <w:rsid w:val="00012231"/>
    <w:rsid w:val="0002033F"/>
    <w:rsid w:val="0002272C"/>
    <w:rsid w:val="00022C84"/>
    <w:rsid w:val="00024F53"/>
    <w:rsid w:val="0002573C"/>
    <w:rsid w:val="00025B9A"/>
    <w:rsid w:val="00027041"/>
    <w:rsid w:val="00030CB9"/>
    <w:rsid w:val="00031B68"/>
    <w:rsid w:val="00032FDE"/>
    <w:rsid w:val="000342D5"/>
    <w:rsid w:val="000343BC"/>
    <w:rsid w:val="00035AFA"/>
    <w:rsid w:val="00037A73"/>
    <w:rsid w:val="00037ECD"/>
    <w:rsid w:val="000403E8"/>
    <w:rsid w:val="0004047C"/>
    <w:rsid w:val="000430E8"/>
    <w:rsid w:val="0004430A"/>
    <w:rsid w:val="00045C75"/>
    <w:rsid w:val="00051C36"/>
    <w:rsid w:val="00051E8C"/>
    <w:rsid w:val="00052134"/>
    <w:rsid w:val="00054795"/>
    <w:rsid w:val="000561BA"/>
    <w:rsid w:val="00063496"/>
    <w:rsid w:val="00063A23"/>
    <w:rsid w:val="00064039"/>
    <w:rsid w:val="00065BB6"/>
    <w:rsid w:val="00066BFE"/>
    <w:rsid w:val="00073140"/>
    <w:rsid w:val="000742F4"/>
    <w:rsid w:val="00074702"/>
    <w:rsid w:val="00076535"/>
    <w:rsid w:val="0008116A"/>
    <w:rsid w:val="0008192F"/>
    <w:rsid w:val="00084096"/>
    <w:rsid w:val="00090955"/>
    <w:rsid w:val="00090B48"/>
    <w:rsid w:val="00094222"/>
    <w:rsid w:val="000A0534"/>
    <w:rsid w:val="000A283D"/>
    <w:rsid w:val="000C2F23"/>
    <w:rsid w:val="000D2F0E"/>
    <w:rsid w:val="000E00F7"/>
    <w:rsid w:val="000E0438"/>
    <w:rsid w:val="000E1C8E"/>
    <w:rsid w:val="000E30D7"/>
    <w:rsid w:val="000E5E5F"/>
    <w:rsid w:val="000E6F2D"/>
    <w:rsid w:val="000F3584"/>
    <w:rsid w:val="000F4525"/>
    <w:rsid w:val="000F7464"/>
    <w:rsid w:val="001000FA"/>
    <w:rsid w:val="001035B4"/>
    <w:rsid w:val="00113612"/>
    <w:rsid w:val="001146CD"/>
    <w:rsid w:val="00114942"/>
    <w:rsid w:val="00115F46"/>
    <w:rsid w:val="00120B6A"/>
    <w:rsid w:val="0012152A"/>
    <w:rsid w:val="00122715"/>
    <w:rsid w:val="00124E73"/>
    <w:rsid w:val="001270C8"/>
    <w:rsid w:val="00127391"/>
    <w:rsid w:val="00133BE1"/>
    <w:rsid w:val="001472D4"/>
    <w:rsid w:val="00150399"/>
    <w:rsid w:val="001524DA"/>
    <w:rsid w:val="00152B4B"/>
    <w:rsid w:val="00153F5A"/>
    <w:rsid w:val="0016011F"/>
    <w:rsid w:val="0016034F"/>
    <w:rsid w:val="001613B3"/>
    <w:rsid w:val="00165401"/>
    <w:rsid w:val="00171AEB"/>
    <w:rsid w:val="001753AF"/>
    <w:rsid w:val="001849D5"/>
    <w:rsid w:val="00187848"/>
    <w:rsid w:val="00190F63"/>
    <w:rsid w:val="00192542"/>
    <w:rsid w:val="00194017"/>
    <w:rsid w:val="00195BE4"/>
    <w:rsid w:val="001A1A87"/>
    <w:rsid w:val="001B1D88"/>
    <w:rsid w:val="001B4482"/>
    <w:rsid w:val="001B4AEE"/>
    <w:rsid w:val="001C0CA9"/>
    <w:rsid w:val="001C2908"/>
    <w:rsid w:val="001C6D91"/>
    <w:rsid w:val="001C7845"/>
    <w:rsid w:val="001D00FD"/>
    <w:rsid w:val="001D5771"/>
    <w:rsid w:val="001D7FD3"/>
    <w:rsid w:val="001E4FBA"/>
    <w:rsid w:val="001E5294"/>
    <w:rsid w:val="001E73C1"/>
    <w:rsid w:val="001F1D47"/>
    <w:rsid w:val="001F333A"/>
    <w:rsid w:val="001F3833"/>
    <w:rsid w:val="001F48F6"/>
    <w:rsid w:val="001F5D4E"/>
    <w:rsid w:val="001F7095"/>
    <w:rsid w:val="002038F3"/>
    <w:rsid w:val="002078BA"/>
    <w:rsid w:val="0021034C"/>
    <w:rsid w:val="00213882"/>
    <w:rsid w:val="00213F7C"/>
    <w:rsid w:val="00214C45"/>
    <w:rsid w:val="00214CA5"/>
    <w:rsid w:val="00224FCD"/>
    <w:rsid w:val="00225A12"/>
    <w:rsid w:val="002317EF"/>
    <w:rsid w:val="002319D2"/>
    <w:rsid w:val="0023303D"/>
    <w:rsid w:val="00235633"/>
    <w:rsid w:val="00243AC7"/>
    <w:rsid w:val="002441CA"/>
    <w:rsid w:val="00245DE5"/>
    <w:rsid w:val="00246673"/>
    <w:rsid w:val="002518EF"/>
    <w:rsid w:val="0025650C"/>
    <w:rsid w:val="00256B3F"/>
    <w:rsid w:val="0025752C"/>
    <w:rsid w:val="00257B33"/>
    <w:rsid w:val="002605FB"/>
    <w:rsid w:val="002617FF"/>
    <w:rsid w:val="002629A3"/>
    <w:rsid w:val="00262A4E"/>
    <w:rsid w:val="002705FC"/>
    <w:rsid w:val="002742A4"/>
    <w:rsid w:val="00274854"/>
    <w:rsid w:val="00282B7D"/>
    <w:rsid w:val="0028663E"/>
    <w:rsid w:val="002976AA"/>
    <w:rsid w:val="00297A97"/>
    <w:rsid w:val="002A31C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3608"/>
    <w:rsid w:val="002C716B"/>
    <w:rsid w:val="002D2086"/>
    <w:rsid w:val="002D3A37"/>
    <w:rsid w:val="002D4F06"/>
    <w:rsid w:val="002D684D"/>
    <w:rsid w:val="002D7A0D"/>
    <w:rsid w:val="002E2231"/>
    <w:rsid w:val="002E5A08"/>
    <w:rsid w:val="002F01B7"/>
    <w:rsid w:val="002F3C1E"/>
    <w:rsid w:val="002F74CC"/>
    <w:rsid w:val="00302C53"/>
    <w:rsid w:val="003100D1"/>
    <w:rsid w:val="00310D85"/>
    <w:rsid w:val="00312FF1"/>
    <w:rsid w:val="0032082B"/>
    <w:rsid w:val="00331FED"/>
    <w:rsid w:val="00332E1B"/>
    <w:rsid w:val="00334441"/>
    <w:rsid w:val="00336299"/>
    <w:rsid w:val="003459C1"/>
    <w:rsid w:val="00355C2F"/>
    <w:rsid w:val="00357016"/>
    <w:rsid w:val="00365E65"/>
    <w:rsid w:val="00367C4D"/>
    <w:rsid w:val="00371636"/>
    <w:rsid w:val="00372520"/>
    <w:rsid w:val="0037296A"/>
    <w:rsid w:val="00375EF8"/>
    <w:rsid w:val="00377A7F"/>
    <w:rsid w:val="003841F3"/>
    <w:rsid w:val="003905BF"/>
    <w:rsid w:val="0039191F"/>
    <w:rsid w:val="00395703"/>
    <w:rsid w:val="00396494"/>
    <w:rsid w:val="003A0DA8"/>
    <w:rsid w:val="003A1FE1"/>
    <w:rsid w:val="003A4FF9"/>
    <w:rsid w:val="003C17A5"/>
    <w:rsid w:val="003C4B52"/>
    <w:rsid w:val="003D3522"/>
    <w:rsid w:val="003D49E1"/>
    <w:rsid w:val="003D70EF"/>
    <w:rsid w:val="003E6C8B"/>
    <w:rsid w:val="003F0BB0"/>
    <w:rsid w:val="003F123C"/>
    <w:rsid w:val="003F27A1"/>
    <w:rsid w:val="003F30D2"/>
    <w:rsid w:val="003F45FE"/>
    <w:rsid w:val="003F57BB"/>
    <w:rsid w:val="003F5A6D"/>
    <w:rsid w:val="003F6A6A"/>
    <w:rsid w:val="004001DF"/>
    <w:rsid w:val="004063CD"/>
    <w:rsid w:val="004135D0"/>
    <w:rsid w:val="00423310"/>
    <w:rsid w:val="00423DBF"/>
    <w:rsid w:val="00424CF5"/>
    <w:rsid w:val="0042544E"/>
    <w:rsid w:val="0042789C"/>
    <w:rsid w:val="0044037B"/>
    <w:rsid w:val="004414D0"/>
    <w:rsid w:val="004479DF"/>
    <w:rsid w:val="0045089C"/>
    <w:rsid w:val="00456A18"/>
    <w:rsid w:val="004607D3"/>
    <w:rsid w:val="00461CDC"/>
    <w:rsid w:val="00462892"/>
    <w:rsid w:val="00471572"/>
    <w:rsid w:val="00472FBC"/>
    <w:rsid w:val="00474C10"/>
    <w:rsid w:val="00477BE5"/>
    <w:rsid w:val="00485E02"/>
    <w:rsid w:val="0048665F"/>
    <w:rsid w:val="00487366"/>
    <w:rsid w:val="004878A0"/>
    <w:rsid w:val="004913B2"/>
    <w:rsid w:val="00492B2E"/>
    <w:rsid w:val="004936E3"/>
    <w:rsid w:val="00493F92"/>
    <w:rsid w:val="00494C4E"/>
    <w:rsid w:val="004A0BE6"/>
    <w:rsid w:val="004A470C"/>
    <w:rsid w:val="004A6F59"/>
    <w:rsid w:val="004B5C15"/>
    <w:rsid w:val="004B6A52"/>
    <w:rsid w:val="004C20FB"/>
    <w:rsid w:val="004C51A2"/>
    <w:rsid w:val="004C6053"/>
    <w:rsid w:val="004D0233"/>
    <w:rsid w:val="004D5660"/>
    <w:rsid w:val="004D5907"/>
    <w:rsid w:val="004D5B82"/>
    <w:rsid w:val="004D65D0"/>
    <w:rsid w:val="004D7B92"/>
    <w:rsid w:val="004E0E4D"/>
    <w:rsid w:val="004E4CB8"/>
    <w:rsid w:val="004F37E8"/>
    <w:rsid w:val="004F5FF5"/>
    <w:rsid w:val="00500642"/>
    <w:rsid w:val="00500CA9"/>
    <w:rsid w:val="005025BB"/>
    <w:rsid w:val="0050276E"/>
    <w:rsid w:val="005047F4"/>
    <w:rsid w:val="00505CB1"/>
    <w:rsid w:val="00506786"/>
    <w:rsid w:val="005077E0"/>
    <w:rsid w:val="005111CC"/>
    <w:rsid w:val="00512056"/>
    <w:rsid w:val="00520F2F"/>
    <w:rsid w:val="00521F21"/>
    <w:rsid w:val="005236B6"/>
    <w:rsid w:val="005318E4"/>
    <w:rsid w:val="00532A6D"/>
    <w:rsid w:val="00534847"/>
    <w:rsid w:val="00536B3F"/>
    <w:rsid w:val="005371D9"/>
    <w:rsid w:val="00543C11"/>
    <w:rsid w:val="00545D51"/>
    <w:rsid w:val="00546C0C"/>
    <w:rsid w:val="00547584"/>
    <w:rsid w:val="0055041E"/>
    <w:rsid w:val="00551E00"/>
    <w:rsid w:val="00552EB2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E0E"/>
    <w:rsid w:val="00577502"/>
    <w:rsid w:val="0057787C"/>
    <w:rsid w:val="005802DE"/>
    <w:rsid w:val="00582E0C"/>
    <w:rsid w:val="00583394"/>
    <w:rsid w:val="00585257"/>
    <w:rsid w:val="0058736C"/>
    <w:rsid w:val="005903F3"/>
    <w:rsid w:val="005961CD"/>
    <w:rsid w:val="00597E26"/>
    <w:rsid w:val="005A17B2"/>
    <w:rsid w:val="005A5E3F"/>
    <w:rsid w:val="005A6220"/>
    <w:rsid w:val="005B062F"/>
    <w:rsid w:val="005B390E"/>
    <w:rsid w:val="005B4C0B"/>
    <w:rsid w:val="005B4D21"/>
    <w:rsid w:val="005B5FA3"/>
    <w:rsid w:val="005C06B9"/>
    <w:rsid w:val="005C352F"/>
    <w:rsid w:val="005D2463"/>
    <w:rsid w:val="005D5DCA"/>
    <w:rsid w:val="005D602A"/>
    <w:rsid w:val="005D6BBB"/>
    <w:rsid w:val="005E1C36"/>
    <w:rsid w:val="005E2BBC"/>
    <w:rsid w:val="005E57C5"/>
    <w:rsid w:val="005E6531"/>
    <w:rsid w:val="005F023C"/>
    <w:rsid w:val="005F27C7"/>
    <w:rsid w:val="005F482E"/>
    <w:rsid w:val="00602779"/>
    <w:rsid w:val="00604E70"/>
    <w:rsid w:val="00605080"/>
    <w:rsid w:val="00607159"/>
    <w:rsid w:val="00611EC3"/>
    <w:rsid w:val="00613098"/>
    <w:rsid w:val="00613FDA"/>
    <w:rsid w:val="00615441"/>
    <w:rsid w:val="00621B37"/>
    <w:rsid w:val="00623369"/>
    <w:rsid w:val="00626DF3"/>
    <w:rsid w:val="0063157A"/>
    <w:rsid w:val="006327BC"/>
    <w:rsid w:val="006347AD"/>
    <w:rsid w:val="00641FEE"/>
    <w:rsid w:val="00642BE1"/>
    <w:rsid w:val="006442B8"/>
    <w:rsid w:val="00651938"/>
    <w:rsid w:val="00653B91"/>
    <w:rsid w:val="00656B30"/>
    <w:rsid w:val="00657320"/>
    <w:rsid w:val="00660560"/>
    <w:rsid w:val="0066151F"/>
    <w:rsid w:val="00665568"/>
    <w:rsid w:val="006668D9"/>
    <w:rsid w:val="0067143B"/>
    <w:rsid w:val="006818A5"/>
    <w:rsid w:val="00682EF5"/>
    <w:rsid w:val="006862B6"/>
    <w:rsid w:val="00686FF3"/>
    <w:rsid w:val="00694123"/>
    <w:rsid w:val="00695E6B"/>
    <w:rsid w:val="006A0D4B"/>
    <w:rsid w:val="006A2761"/>
    <w:rsid w:val="006A795A"/>
    <w:rsid w:val="006B2F25"/>
    <w:rsid w:val="006C15E3"/>
    <w:rsid w:val="006C2570"/>
    <w:rsid w:val="006C72C6"/>
    <w:rsid w:val="006D0C2D"/>
    <w:rsid w:val="006D2BAF"/>
    <w:rsid w:val="006D36E0"/>
    <w:rsid w:val="006D4318"/>
    <w:rsid w:val="006D7066"/>
    <w:rsid w:val="006E3551"/>
    <w:rsid w:val="006F0A40"/>
    <w:rsid w:val="006F125B"/>
    <w:rsid w:val="006F5DF9"/>
    <w:rsid w:val="00702048"/>
    <w:rsid w:val="00703FC5"/>
    <w:rsid w:val="00706510"/>
    <w:rsid w:val="0070659A"/>
    <w:rsid w:val="00710080"/>
    <w:rsid w:val="007102B2"/>
    <w:rsid w:val="00712E30"/>
    <w:rsid w:val="00714DC9"/>
    <w:rsid w:val="00720FBD"/>
    <w:rsid w:val="00723194"/>
    <w:rsid w:val="00724BB0"/>
    <w:rsid w:val="00725612"/>
    <w:rsid w:val="00725FC6"/>
    <w:rsid w:val="007275A1"/>
    <w:rsid w:val="007313AA"/>
    <w:rsid w:val="00732EB2"/>
    <w:rsid w:val="00733A52"/>
    <w:rsid w:val="00733F09"/>
    <w:rsid w:val="00735B52"/>
    <w:rsid w:val="0073651C"/>
    <w:rsid w:val="007375F7"/>
    <w:rsid w:val="007418AA"/>
    <w:rsid w:val="0075091F"/>
    <w:rsid w:val="00760D49"/>
    <w:rsid w:val="007628B0"/>
    <w:rsid w:val="00764606"/>
    <w:rsid w:val="00771181"/>
    <w:rsid w:val="007715E5"/>
    <w:rsid w:val="0077236C"/>
    <w:rsid w:val="00772B6C"/>
    <w:rsid w:val="0077446F"/>
    <w:rsid w:val="00774663"/>
    <w:rsid w:val="00781F4A"/>
    <w:rsid w:val="0078327A"/>
    <w:rsid w:val="0078371E"/>
    <w:rsid w:val="00787D0C"/>
    <w:rsid w:val="0079038E"/>
    <w:rsid w:val="00791626"/>
    <w:rsid w:val="0079264B"/>
    <w:rsid w:val="007A660E"/>
    <w:rsid w:val="007A6AB8"/>
    <w:rsid w:val="007A769C"/>
    <w:rsid w:val="007B3A71"/>
    <w:rsid w:val="007B535F"/>
    <w:rsid w:val="007C2530"/>
    <w:rsid w:val="007C5643"/>
    <w:rsid w:val="007C60F8"/>
    <w:rsid w:val="007C7B77"/>
    <w:rsid w:val="007D1961"/>
    <w:rsid w:val="007D2AC8"/>
    <w:rsid w:val="007D78A7"/>
    <w:rsid w:val="007E1D70"/>
    <w:rsid w:val="007E231E"/>
    <w:rsid w:val="007E32C4"/>
    <w:rsid w:val="007E6E96"/>
    <w:rsid w:val="007E706A"/>
    <w:rsid w:val="007F421A"/>
    <w:rsid w:val="007F4EB6"/>
    <w:rsid w:val="007F4F59"/>
    <w:rsid w:val="007F6B41"/>
    <w:rsid w:val="007F7F44"/>
    <w:rsid w:val="00801F84"/>
    <w:rsid w:val="008041E7"/>
    <w:rsid w:val="008078E8"/>
    <w:rsid w:val="00811AE2"/>
    <w:rsid w:val="008177B5"/>
    <w:rsid w:val="00822EAC"/>
    <w:rsid w:val="008254FC"/>
    <w:rsid w:val="00825F32"/>
    <w:rsid w:val="00835164"/>
    <w:rsid w:val="008400C3"/>
    <w:rsid w:val="008407AE"/>
    <w:rsid w:val="008435FD"/>
    <w:rsid w:val="00844224"/>
    <w:rsid w:val="00851227"/>
    <w:rsid w:val="00855CE1"/>
    <w:rsid w:val="008704A2"/>
    <w:rsid w:val="00870888"/>
    <w:rsid w:val="00874A0E"/>
    <w:rsid w:val="00874A99"/>
    <w:rsid w:val="00876163"/>
    <w:rsid w:val="0088040B"/>
    <w:rsid w:val="00883F1E"/>
    <w:rsid w:val="0088429A"/>
    <w:rsid w:val="00884DA7"/>
    <w:rsid w:val="0089233B"/>
    <w:rsid w:val="00893D24"/>
    <w:rsid w:val="0089400E"/>
    <w:rsid w:val="008A10E2"/>
    <w:rsid w:val="008A1947"/>
    <w:rsid w:val="008A2786"/>
    <w:rsid w:val="008A44FD"/>
    <w:rsid w:val="008A79D5"/>
    <w:rsid w:val="008B1C64"/>
    <w:rsid w:val="008B3711"/>
    <w:rsid w:val="008B5CE3"/>
    <w:rsid w:val="008B7F4A"/>
    <w:rsid w:val="008C09A7"/>
    <w:rsid w:val="008C2EC4"/>
    <w:rsid w:val="008C5111"/>
    <w:rsid w:val="008C5E8B"/>
    <w:rsid w:val="008C6C36"/>
    <w:rsid w:val="008D7621"/>
    <w:rsid w:val="008E4B7E"/>
    <w:rsid w:val="008E69C7"/>
    <w:rsid w:val="008F1C3F"/>
    <w:rsid w:val="008F31CC"/>
    <w:rsid w:val="00901C62"/>
    <w:rsid w:val="00904158"/>
    <w:rsid w:val="009046C9"/>
    <w:rsid w:val="00904F1C"/>
    <w:rsid w:val="00906D3D"/>
    <w:rsid w:val="00910704"/>
    <w:rsid w:val="00911713"/>
    <w:rsid w:val="00911C54"/>
    <w:rsid w:val="00924C7F"/>
    <w:rsid w:val="0092617B"/>
    <w:rsid w:val="00930400"/>
    <w:rsid w:val="009309F0"/>
    <w:rsid w:val="00931B6A"/>
    <w:rsid w:val="00932624"/>
    <w:rsid w:val="00932FE4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71DA"/>
    <w:rsid w:val="00957E56"/>
    <w:rsid w:val="00963C7E"/>
    <w:rsid w:val="00965D97"/>
    <w:rsid w:val="00966A93"/>
    <w:rsid w:val="009711B2"/>
    <w:rsid w:val="00972835"/>
    <w:rsid w:val="00977B12"/>
    <w:rsid w:val="00981717"/>
    <w:rsid w:val="00982453"/>
    <w:rsid w:val="00982B2D"/>
    <w:rsid w:val="00985EA6"/>
    <w:rsid w:val="0098692E"/>
    <w:rsid w:val="009920D6"/>
    <w:rsid w:val="0099356F"/>
    <w:rsid w:val="00993ADB"/>
    <w:rsid w:val="00994B41"/>
    <w:rsid w:val="009A1791"/>
    <w:rsid w:val="009A32F4"/>
    <w:rsid w:val="009A5159"/>
    <w:rsid w:val="009A550B"/>
    <w:rsid w:val="009A5A62"/>
    <w:rsid w:val="009A5A96"/>
    <w:rsid w:val="009B0CC7"/>
    <w:rsid w:val="009B33BE"/>
    <w:rsid w:val="009B5BA7"/>
    <w:rsid w:val="009B686E"/>
    <w:rsid w:val="009B6D4C"/>
    <w:rsid w:val="009C25B0"/>
    <w:rsid w:val="009C30F8"/>
    <w:rsid w:val="009C514F"/>
    <w:rsid w:val="009C6A8C"/>
    <w:rsid w:val="009D0A8F"/>
    <w:rsid w:val="009D3699"/>
    <w:rsid w:val="009D5AC5"/>
    <w:rsid w:val="009E2F90"/>
    <w:rsid w:val="009E534A"/>
    <w:rsid w:val="009E5D22"/>
    <w:rsid w:val="009E752B"/>
    <w:rsid w:val="009F0628"/>
    <w:rsid w:val="009F1018"/>
    <w:rsid w:val="009F1979"/>
    <w:rsid w:val="009F2781"/>
    <w:rsid w:val="009F473C"/>
    <w:rsid w:val="00A032D4"/>
    <w:rsid w:val="00A070DC"/>
    <w:rsid w:val="00A17999"/>
    <w:rsid w:val="00A20DD9"/>
    <w:rsid w:val="00A22745"/>
    <w:rsid w:val="00A26F1F"/>
    <w:rsid w:val="00A30AC0"/>
    <w:rsid w:val="00A33A5A"/>
    <w:rsid w:val="00A33F44"/>
    <w:rsid w:val="00A41C31"/>
    <w:rsid w:val="00A42975"/>
    <w:rsid w:val="00A43A5B"/>
    <w:rsid w:val="00A44B4F"/>
    <w:rsid w:val="00A45413"/>
    <w:rsid w:val="00A45EC3"/>
    <w:rsid w:val="00A47C76"/>
    <w:rsid w:val="00A5202B"/>
    <w:rsid w:val="00A650B0"/>
    <w:rsid w:val="00A650DB"/>
    <w:rsid w:val="00A662ED"/>
    <w:rsid w:val="00A67216"/>
    <w:rsid w:val="00A67458"/>
    <w:rsid w:val="00A67F99"/>
    <w:rsid w:val="00A741B5"/>
    <w:rsid w:val="00A75BC6"/>
    <w:rsid w:val="00A75E3B"/>
    <w:rsid w:val="00A77F0D"/>
    <w:rsid w:val="00A81E58"/>
    <w:rsid w:val="00A84743"/>
    <w:rsid w:val="00A870EB"/>
    <w:rsid w:val="00A879CB"/>
    <w:rsid w:val="00AA3AFC"/>
    <w:rsid w:val="00AA574D"/>
    <w:rsid w:val="00AA57DA"/>
    <w:rsid w:val="00AB0AE2"/>
    <w:rsid w:val="00AB310B"/>
    <w:rsid w:val="00AB3787"/>
    <w:rsid w:val="00AB4A3D"/>
    <w:rsid w:val="00AC1FDF"/>
    <w:rsid w:val="00AC2BB0"/>
    <w:rsid w:val="00AC5464"/>
    <w:rsid w:val="00AC68AA"/>
    <w:rsid w:val="00AC7114"/>
    <w:rsid w:val="00AD1194"/>
    <w:rsid w:val="00AD4ADB"/>
    <w:rsid w:val="00AD6BEF"/>
    <w:rsid w:val="00AE1C18"/>
    <w:rsid w:val="00AE1F97"/>
    <w:rsid w:val="00AE7FEE"/>
    <w:rsid w:val="00AF028F"/>
    <w:rsid w:val="00AF3075"/>
    <w:rsid w:val="00AF4B2C"/>
    <w:rsid w:val="00AF5C52"/>
    <w:rsid w:val="00AF6E70"/>
    <w:rsid w:val="00AF6EA0"/>
    <w:rsid w:val="00AF7F71"/>
    <w:rsid w:val="00B0547A"/>
    <w:rsid w:val="00B06247"/>
    <w:rsid w:val="00B06E11"/>
    <w:rsid w:val="00B16A8E"/>
    <w:rsid w:val="00B16BBD"/>
    <w:rsid w:val="00B2062F"/>
    <w:rsid w:val="00B309BE"/>
    <w:rsid w:val="00B333C3"/>
    <w:rsid w:val="00B42F65"/>
    <w:rsid w:val="00B45231"/>
    <w:rsid w:val="00B47947"/>
    <w:rsid w:val="00B50093"/>
    <w:rsid w:val="00B52B8F"/>
    <w:rsid w:val="00B53498"/>
    <w:rsid w:val="00B578F5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7F7B"/>
    <w:rsid w:val="00B84F8B"/>
    <w:rsid w:val="00B851EE"/>
    <w:rsid w:val="00B8527F"/>
    <w:rsid w:val="00B878D2"/>
    <w:rsid w:val="00B91B40"/>
    <w:rsid w:val="00B9439D"/>
    <w:rsid w:val="00B94A78"/>
    <w:rsid w:val="00B95914"/>
    <w:rsid w:val="00BA1DDD"/>
    <w:rsid w:val="00BA318C"/>
    <w:rsid w:val="00BA7815"/>
    <w:rsid w:val="00BB7ED6"/>
    <w:rsid w:val="00BC15AC"/>
    <w:rsid w:val="00BC2821"/>
    <w:rsid w:val="00BC4D33"/>
    <w:rsid w:val="00BC5C2F"/>
    <w:rsid w:val="00BD186D"/>
    <w:rsid w:val="00BD5362"/>
    <w:rsid w:val="00BD6502"/>
    <w:rsid w:val="00BD716F"/>
    <w:rsid w:val="00BD7586"/>
    <w:rsid w:val="00BE4D8F"/>
    <w:rsid w:val="00BF59C6"/>
    <w:rsid w:val="00BF5A10"/>
    <w:rsid w:val="00BF6D6A"/>
    <w:rsid w:val="00C03521"/>
    <w:rsid w:val="00C050B2"/>
    <w:rsid w:val="00C05A09"/>
    <w:rsid w:val="00C079C6"/>
    <w:rsid w:val="00C118D2"/>
    <w:rsid w:val="00C151CC"/>
    <w:rsid w:val="00C20C04"/>
    <w:rsid w:val="00C3151F"/>
    <w:rsid w:val="00C32C00"/>
    <w:rsid w:val="00C33B21"/>
    <w:rsid w:val="00C34B67"/>
    <w:rsid w:val="00C461B5"/>
    <w:rsid w:val="00C46C5E"/>
    <w:rsid w:val="00C51107"/>
    <w:rsid w:val="00C51437"/>
    <w:rsid w:val="00C526CA"/>
    <w:rsid w:val="00C57C2B"/>
    <w:rsid w:val="00C65E9F"/>
    <w:rsid w:val="00C70CE3"/>
    <w:rsid w:val="00C71F75"/>
    <w:rsid w:val="00C7615F"/>
    <w:rsid w:val="00C76BE1"/>
    <w:rsid w:val="00C77A53"/>
    <w:rsid w:val="00C8024E"/>
    <w:rsid w:val="00C842BE"/>
    <w:rsid w:val="00C86AF3"/>
    <w:rsid w:val="00C91E96"/>
    <w:rsid w:val="00CA2129"/>
    <w:rsid w:val="00CA3069"/>
    <w:rsid w:val="00CA6C2B"/>
    <w:rsid w:val="00CB17C8"/>
    <w:rsid w:val="00CB311E"/>
    <w:rsid w:val="00CB56A1"/>
    <w:rsid w:val="00CC0A38"/>
    <w:rsid w:val="00CD04D2"/>
    <w:rsid w:val="00CD13FB"/>
    <w:rsid w:val="00CD658D"/>
    <w:rsid w:val="00CD7E8F"/>
    <w:rsid w:val="00CE5401"/>
    <w:rsid w:val="00CF2959"/>
    <w:rsid w:val="00CF3C0E"/>
    <w:rsid w:val="00CF4276"/>
    <w:rsid w:val="00CF4D64"/>
    <w:rsid w:val="00CF64FA"/>
    <w:rsid w:val="00D07400"/>
    <w:rsid w:val="00D113AE"/>
    <w:rsid w:val="00D11944"/>
    <w:rsid w:val="00D13A1B"/>
    <w:rsid w:val="00D205ED"/>
    <w:rsid w:val="00D2395E"/>
    <w:rsid w:val="00D26C9A"/>
    <w:rsid w:val="00D30CF2"/>
    <w:rsid w:val="00D3494D"/>
    <w:rsid w:val="00D34DC9"/>
    <w:rsid w:val="00D3595B"/>
    <w:rsid w:val="00D35B6D"/>
    <w:rsid w:val="00D362C1"/>
    <w:rsid w:val="00D379FF"/>
    <w:rsid w:val="00D37CC4"/>
    <w:rsid w:val="00D426C0"/>
    <w:rsid w:val="00D43019"/>
    <w:rsid w:val="00D52DE1"/>
    <w:rsid w:val="00D531C7"/>
    <w:rsid w:val="00D61358"/>
    <w:rsid w:val="00D6201B"/>
    <w:rsid w:val="00D6422A"/>
    <w:rsid w:val="00D64D82"/>
    <w:rsid w:val="00D763FD"/>
    <w:rsid w:val="00D82561"/>
    <w:rsid w:val="00D82AE3"/>
    <w:rsid w:val="00D830A5"/>
    <w:rsid w:val="00D86CE0"/>
    <w:rsid w:val="00D943EA"/>
    <w:rsid w:val="00D963D9"/>
    <w:rsid w:val="00D973FA"/>
    <w:rsid w:val="00DA0B48"/>
    <w:rsid w:val="00DA0C32"/>
    <w:rsid w:val="00DA2EEA"/>
    <w:rsid w:val="00DA478A"/>
    <w:rsid w:val="00DB277F"/>
    <w:rsid w:val="00DB4835"/>
    <w:rsid w:val="00DB52C5"/>
    <w:rsid w:val="00DC11AD"/>
    <w:rsid w:val="00DC1AE5"/>
    <w:rsid w:val="00DC22CA"/>
    <w:rsid w:val="00DC2C26"/>
    <w:rsid w:val="00DC41BB"/>
    <w:rsid w:val="00DC5BC4"/>
    <w:rsid w:val="00DC6020"/>
    <w:rsid w:val="00DC7A6B"/>
    <w:rsid w:val="00DD27D4"/>
    <w:rsid w:val="00DD2A82"/>
    <w:rsid w:val="00DD46BD"/>
    <w:rsid w:val="00DD4952"/>
    <w:rsid w:val="00DD4BFB"/>
    <w:rsid w:val="00DD7C71"/>
    <w:rsid w:val="00DE0FE8"/>
    <w:rsid w:val="00DE2AF5"/>
    <w:rsid w:val="00DE3B06"/>
    <w:rsid w:val="00DF0BA9"/>
    <w:rsid w:val="00DF167E"/>
    <w:rsid w:val="00DF72A8"/>
    <w:rsid w:val="00E03812"/>
    <w:rsid w:val="00E03DB4"/>
    <w:rsid w:val="00E15DC4"/>
    <w:rsid w:val="00E1791D"/>
    <w:rsid w:val="00E221DB"/>
    <w:rsid w:val="00E26EA6"/>
    <w:rsid w:val="00E34090"/>
    <w:rsid w:val="00E36F67"/>
    <w:rsid w:val="00E4043A"/>
    <w:rsid w:val="00E42722"/>
    <w:rsid w:val="00E4638A"/>
    <w:rsid w:val="00E47A94"/>
    <w:rsid w:val="00E51E12"/>
    <w:rsid w:val="00E53818"/>
    <w:rsid w:val="00E56321"/>
    <w:rsid w:val="00E56832"/>
    <w:rsid w:val="00E60D21"/>
    <w:rsid w:val="00E6694B"/>
    <w:rsid w:val="00E676DF"/>
    <w:rsid w:val="00E82CDB"/>
    <w:rsid w:val="00E86196"/>
    <w:rsid w:val="00E870C5"/>
    <w:rsid w:val="00E90DDB"/>
    <w:rsid w:val="00E93293"/>
    <w:rsid w:val="00E93704"/>
    <w:rsid w:val="00E95BC5"/>
    <w:rsid w:val="00E9767A"/>
    <w:rsid w:val="00EA0A39"/>
    <w:rsid w:val="00EA5F3B"/>
    <w:rsid w:val="00EA607E"/>
    <w:rsid w:val="00EA6824"/>
    <w:rsid w:val="00EB1C5E"/>
    <w:rsid w:val="00EB3863"/>
    <w:rsid w:val="00EB44F8"/>
    <w:rsid w:val="00EB4F59"/>
    <w:rsid w:val="00EB4F88"/>
    <w:rsid w:val="00EB526A"/>
    <w:rsid w:val="00EB5C38"/>
    <w:rsid w:val="00EC0F72"/>
    <w:rsid w:val="00EC2509"/>
    <w:rsid w:val="00ED1E23"/>
    <w:rsid w:val="00ED2426"/>
    <w:rsid w:val="00ED75DE"/>
    <w:rsid w:val="00EE05E2"/>
    <w:rsid w:val="00EE375E"/>
    <w:rsid w:val="00EE6417"/>
    <w:rsid w:val="00EF0A6C"/>
    <w:rsid w:val="00EF4FCC"/>
    <w:rsid w:val="00EF634D"/>
    <w:rsid w:val="00F00746"/>
    <w:rsid w:val="00F013F7"/>
    <w:rsid w:val="00F02F04"/>
    <w:rsid w:val="00F07734"/>
    <w:rsid w:val="00F07DA1"/>
    <w:rsid w:val="00F07F3F"/>
    <w:rsid w:val="00F216F4"/>
    <w:rsid w:val="00F218DD"/>
    <w:rsid w:val="00F3127E"/>
    <w:rsid w:val="00F34DC9"/>
    <w:rsid w:val="00F35072"/>
    <w:rsid w:val="00F3607B"/>
    <w:rsid w:val="00F37EB5"/>
    <w:rsid w:val="00F47756"/>
    <w:rsid w:val="00F47835"/>
    <w:rsid w:val="00F47F80"/>
    <w:rsid w:val="00F5168F"/>
    <w:rsid w:val="00F53379"/>
    <w:rsid w:val="00F53F3C"/>
    <w:rsid w:val="00F55373"/>
    <w:rsid w:val="00F5577B"/>
    <w:rsid w:val="00F60A3F"/>
    <w:rsid w:val="00F62249"/>
    <w:rsid w:val="00F64358"/>
    <w:rsid w:val="00F65190"/>
    <w:rsid w:val="00F65B36"/>
    <w:rsid w:val="00F718E2"/>
    <w:rsid w:val="00F74D39"/>
    <w:rsid w:val="00F75CAC"/>
    <w:rsid w:val="00F76047"/>
    <w:rsid w:val="00F765A2"/>
    <w:rsid w:val="00F768FB"/>
    <w:rsid w:val="00F77BD1"/>
    <w:rsid w:val="00F77F03"/>
    <w:rsid w:val="00F85F99"/>
    <w:rsid w:val="00F85FC5"/>
    <w:rsid w:val="00F903A7"/>
    <w:rsid w:val="00F91D45"/>
    <w:rsid w:val="00F947BC"/>
    <w:rsid w:val="00FA072C"/>
    <w:rsid w:val="00FA25E5"/>
    <w:rsid w:val="00FC2106"/>
    <w:rsid w:val="00FC45FD"/>
    <w:rsid w:val="00FC47BE"/>
    <w:rsid w:val="00FC60AF"/>
    <w:rsid w:val="00FC73FE"/>
    <w:rsid w:val="00FC7507"/>
    <w:rsid w:val="00FD10EE"/>
    <w:rsid w:val="00FD5A59"/>
    <w:rsid w:val="00FD605C"/>
    <w:rsid w:val="00FE0BA2"/>
    <w:rsid w:val="00FE3BDD"/>
    <w:rsid w:val="00FE550E"/>
    <w:rsid w:val="00FE6052"/>
    <w:rsid w:val="00FE62B4"/>
    <w:rsid w:val="00FE7C30"/>
    <w:rsid w:val="00FE7EA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&#1086;&#1093;&#1088;&#1072;&#1085;&#1072;&#1090;&#1088;&#1091;&#1076;&#1072;&#1074;&#1083;&#1077;&#1085;&#1086;&#1073;&#1083;&#1072;&#1089;&#1090;&#1080;.&#1088;&#1092;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job.lenob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2016-2017 гг.</a:t>
            </a:r>
            <a:endParaRPr lang="ru-RU" sz="1200"/>
          </a:p>
        </c:rich>
      </c:tx>
      <c:layout>
        <c:manualLayout>
          <c:xMode val="edge"/>
          <c:yMode val="edge"/>
          <c:x val="0.17196769134508341"/>
          <c:y val="1.000533014101994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118733039725969E-2"/>
          <c:y val="0.17664363888476203"/>
          <c:w val="0.89506193182805793"/>
          <c:h val="0.59852162501426454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728383528330146E-2"/>
                  <c:y val="0.10026189661074975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415468106138851E-2"/>
                  <c:y val="7.1063323074442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59949641484E-2"/>
                  <c:y val="6.9864801098352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06045513452E-2"/>
                  <c:y val="7.4337210136454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88661708667E-2"/>
                  <c:y val="6.981686298605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207108187133611E-2"/>
                  <c:y val="7.4302113385373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172348713927E-2"/>
                  <c:y val="6.7059616083950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158564192216533E-2"/>
                  <c:y val="6.9032360685479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591833473606E-2"/>
                  <c:y val="6.5405701662165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865118555095868E-2"/>
                  <c:y val="9.0911217619536688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28003914764892E-2"/>
                  <c:y val="6.942571037315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53497338257E-2"/>
                  <c:y val="7.082420403971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7546450761451432E-2"/>
                  <c:y val="9.5537772452356493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5977282500704E-2"/>
                  <c:y val="7.8773821750542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35605083263E-2"/>
                  <c:y val="7.2883715622503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620935094976E-2"/>
                  <c:y val="7.6037601278101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29795216276E-2"/>
                  <c:y val="8.4228004108182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489508726663406E-2"/>
                  <c:y val="6.4779755791395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582840280556E-2"/>
                  <c:y val="7.70771995891817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26998531963E-2"/>
                  <c:y val="7.7038400091292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184008778563694E-2"/>
                  <c:y val="6.9412872304005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727909011373577E-2"/>
                  <c:y val="9.893329909848225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Sheet1!$A$50:$A$71</c:f>
              <c:numCache>
                <c:formatCode>m/d/yyyy</c:formatCode>
                <c:ptCount val="2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</c:numCache>
            </c:numRef>
          </c:cat>
          <c:val>
            <c:numRef>
              <c:f>Sheet1!$B$50:$B$71</c:f>
              <c:numCache>
                <c:formatCode>General</c:formatCode>
                <c:ptCount val="22"/>
                <c:pt idx="0">
                  <c:v>4538</c:v>
                </c:pt>
                <c:pt idx="1">
                  <c:v>4574</c:v>
                </c:pt>
                <c:pt idx="2">
                  <c:v>4873</c:v>
                </c:pt>
                <c:pt idx="3">
                  <c:v>4777</c:v>
                </c:pt>
                <c:pt idx="4">
                  <c:v>4674</c:v>
                </c:pt>
                <c:pt idx="5">
                  <c:v>4402</c:v>
                </c:pt>
                <c:pt idx="6">
                  <c:v>4129</c:v>
                </c:pt>
                <c:pt idx="7">
                  <c:v>4070</c:v>
                </c:pt>
                <c:pt idx="8">
                  <c:v>4039</c:v>
                </c:pt>
                <c:pt idx="9">
                  <c:v>3922</c:v>
                </c:pt>
                <c:pt idx="10">
                  <c:v>3890</c:v>
                </c:pt>
                <c:pt idx="11">
                  <c:v>3844</c:v>
                </c:pt>
                <c:pt idx="12">
                  <c:v>4063</c:v>
                </c:pt>
                <c:pt idx="13">
                  <c:v>4269</c:v>
                </c:pt>
                <c:pt idx="14">
                  <c:v>4518</c:v>
                </c:pt>
                <c:pt idx="15">
                  <c:v>4411</c:v>
                </c:pt>
                <c:pt idx="16">
                  <c:v>4143</c:v>
                </c:pt>
                <c:pt idx="17">
                  <c:v>3787</c:v>
                </c:pt>
                <c:pt idx="18">
                  <c:v>3699</c:v>
                </c:pt>
                <c:pt idx="19">
                  <c:v>3721</c:v>
                </c:pt>
                <c:pt idx="20">
                  <c:v>3567</c:v>
                </c:pt>
                <c:pt idx="21">
                  <c:v>3548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01472"/>
        <c:axId val="45803008"/>
      </c:lineChart>
      <c:dateAx>
        <c:axId val="45801472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80300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4580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801472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  <a:endParaRPr lang="ru-RU" sz="1200"/>
          </a:p>
        </c:rich>
      </c:tx>
      <c:layout>
        <c:manualLayout>
          <c:xMode val="edge"/>
          <c:yMode val="edge"/>
          <c:x val="0.21467675301916567"/>
          <c:y val="1.08910207564004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982729500202203E-2"/>
          <c:y val="0.13301498602997205"/>
          <c:w val="0.91191902287453186"/>
          <c:h val="0.6083302960492383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3.6114375431167779E-2"/>
                  <c:y val="8.2321694899800055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25404603881E-2"/>
                  <c:y val="6.1454836755827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278318306888375E-2"/>
                  <c:y val="6.2076682102082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748776044E-2"/>
                  <c:y val="5.8415797953593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242302416125441E-2"/>
                  <c:y val="6.3912780133252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5989247567619002E-2"/>
                  <c:y val="8.3742534664556514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857221019579E-2"/>
                  <c:y val="6.9339533550861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33574390815E-2"/>
                  <c:y val="6.1883641716001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2039790343427613E-2"/>
                  <c:y val="7.4032420885354597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57463662888E-2"/>
                  <c:y val="7.054571032218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49855286215E-2"/>
                  <c:y val="6.1914121776961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435394216209E-2"/>
                  <c:y val="6.2471880841197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5302392336909551E-2"/>
                  <c:y val="5.6640550204177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3140487348447004E-2"/>
                  <c:y val="5.92824160007294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5198436298181762E-2"/>
                  <c:y val="5.7106087545508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87757610359128E-2"/>
                  <c:y val="5.841021733325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87702103702294E-2"/>
                  <c:y val="6.4503103365181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9072800945199071E-2"/>
                  <c:y val="7.2085865197371424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Лист2!$A$35:$A$56</c:f>
              <c:numCache>
                <c:formatCode>m/d/yyyy</c:formatCode>
                <c:ptCount val="2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</c:numCache>
            </c:numRef>
          </c:cat>
          <c:val>
            <c:numRef>
              <c:f>Лист2!$B$35:$B$56</c:f>
              <c:numCache>
                <c:formatCode>0.00</c:formatCode>
                <c:ptCount val="22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  <c:pt idx="20">
                  <c:v>0.36</c:v>
                </c:pt>
                <c:pt idx="21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4.1947649293083075E-2"/>
                  <c:y val="7.1627882742944973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56501328040479E-2"/>
                  <c:y val="4.35614356454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753184571782E-2"/>
                  <c:y val="4.592158563496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784887916200807E-2"/>
                  <c:y val="4.7242531408139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906019300457535E-2"/>
                  <c:y val="5.4232364874986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985013202654804E-2"/>
                  <c:y val="5.9048214506685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054214144682063E-2"/>
                  <c:y val="5.1482907068378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0170881207824851E-2"/>
                  <c:y val="5.2708361826980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268438121971913E-2"/>
                  <c:y val="7.6240792481584968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243492013020159E-2"/>
                  <c:y val="5.1425530013082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0087541927349715E-2"/>
                  <c:y val="6.8584305373738955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30805447939E-2"/>
                  <c:y val="4.3937007874015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885998309617E-2"/>
                  <c:y val="4.645539276630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33594684832E-2"/>
                  <c:y val="4.5997253439295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58633664415649E-2"/>
                  <c:y val="3.835238861396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4168153452117579E-2"/>
                  <c:y val="5.6984427815009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8264148250350882E-2"/>
                  <c:y val="5.326273421777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541348494580171E-2"/>
                  <c:y val="6.2519294269357775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Лист2!$A$35:$A$56</c:f>
              <c:numCache>
                <c:formatCode>m/d/yyyy</c:formatCode>
                <c:ptCount val="2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</c:numCache>
            </c:numRef>
          </c:cat>
          <c:val>
            <c:numRef>
              <c:f>Лист2!$C$35:$C$56</c:f>
              <c:numCache>
                <c:formatCode>0.0</c:formatCode>
                <c:ptCount val="22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66912"/>
        <c:axId val="120568448"/>
      </c:lineChart>
      <c:dateAx>
        <c:axId val="12056691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56844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20568448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566912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rgbClr val="96B4D7"/>
            </a:gs>
          </a:gsLst>
          <a:lin ang="5400000" scaled="0"/>
        </a:gradFill>
        <a:ln>
          <a:gradFill>
            <a:gsLst>
              <a:gs pos="88750">
                <a:srgbClr val="DAE3F3"/>
              </a:gs>
              <a:gs pos="29000">
                <a:srgbClr val="CAD7EF"/>
              </a:gs>
              <a:gs pos="38350">
                <a:srgbClr val="B9CAEB"/>
              </a:gs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70939093338408"/>
          <c:y val="0.90721739187068118"/>
          <c:w val="0.78762136667029259"/>
          <c:h val="5.3304354305869439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3868237581413434"/>
          <c:y val="4.827917637055930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186448916107709E-2"/>
          <c:y val="0.13585217510461794"/>
          <c:w val="0.90296412948381455"/>
          <c:h val="0.6730748093108079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 algn="ctr">
                    <a:defRPr lang="en-US" sz="14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/>
                <a:lstStyle/>
                <a:p>
                  <a:pPr algn="ctr" rtl="0">
                    <a:defRPr lang="ru-RU" sz="14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 rot="-5400000" vert="horz"/>
                <a:lstStyle/>
                <a:p>
                  <a:pPr algn="ctr" rtl="0">
                    <a:defRPr lang="ru-RU" sz="14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/>
                <a:lstStyle/>
                <a:p>
                  <a:pPr algn="ctr" rtl="0">
                    <a:defRPr lang="ru-RU" sz="14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Лист1!$A$49:$A$70</c:f>
              <c:numCache>
                <c:formatCode>dd/mm/yy;@</c:formatCode>
                <c:ptCount val="2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</c:numCache>
            </c:numRef>
          </c:cat>
          <c:val>
            <c:numRef>
              <c:f>Лист1!$B$49:$B$70</c:f>
              <c:numCache>
                <c:formatCode>General</c:formatCode>
                <c:ptCount val="22"/>
                <c:pt idx="0">
                  <c:v>12764</c:v>
                </c:pt>
                <c:pt idx="1">
                  <c:v>12658</c:v>
                </c:pt>
                <c:pt idx="2">
                  <c:v>13637</c:v>
                </c:pt>
                <c:pt idx="3">
                  <c:v>15050</c:v>
                </c:pt>
                <c:pt idx="4">
                  <c:v>14530</c:v>
                </c:pt>
                <c:pt idx="5">
                  <c:v>18025</c:v>
                </c:pt>
                <c:pt idx="6">
                  <c:v>17998</c:v>
                </c:pt>
                <c:pt idx="7">
                  <c:v>17952</c:v>
                </c:pt>
                <c:pt idx="8">
                  <c:v>18139</c:v>
                </c:pt>
                <c:pt idx="9">
                  <c:v>18377</c:v>
                </c:pt>
                <c:pt idx="10">
                  <c:v>17036</c:v>
                </c:pt>
                <c:pt idx="11">
                  <c:v>16562</c:v>
                </c:pt>
                <c:pt idx="12">
                  <c:v>15114</c:v>
                </c:pt>
                <c:pt idx="13">
                  <c:v>15774</c:v>
                </c:pt>
                <c:pt idx="14">
                  <c:v>17210</c:v>
                </c:pt>
                <c:pt idx="15">
                  <c:v>18778</c:v>
                </c:pt>
                <c:pt idx="16">
                  <c:v>18327</c:v>
                </c:pt>
                <c:pt idx="17">
                  <c:v>20810</c:v>
                </c:pt>
                <c:pt idx="18">
                  <c:v>20220</c:v>
                </c:pt>
                <c:pt idx="19">
                  <c:v>21163</c:v>
                </c:pt>
                <c:pt idx="20">
                  <c:v>21200</c:v>
                </c:pt>
                <c:pt idx="21">
                  <c:v>21671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0679424"/>
        <c:axId val="120689408"/>
      </c:barChart>
      <c:dateAx>
        <c:axId val="12067942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68940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0689408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679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0.01803</cdr:x>
      <cdr:y>0.06337</cdr:y>
    </cdr:from>
    <cdr:to>
      <cdr:x>0.07029</cdr:x>
      <cdr:y>0.12763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760" y="363782"/>
          <a:ext cx="419626" cy="368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0.01158</cdr:x>
      <cdr:y>0.04282</cdr:y>
    </cdr:from>
    <cdr:to>
      <cdr:x>0.05423</cdr:x>
      <cdr:y>0.09271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4476" y="203092"/>
          <a:ext cx="274213" cy="2366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Ед.</a:t>
          </a:r>
          <a:endParaRPr lang="ru-RU">
            <a:solidFill>
              <a:srgbClr val="00206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88B8-E450-45E2-94D2-CEB4A70E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29</Pages>
  <Words>10837</Words>
  <Characters>61773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Карпова Л.В.</cp:lastModifiedBy>
  <cp:revision>169</cp:revision>
  <cp:lastPrinted>2017-10-25T07:39:00Z</cp:lastPrinted>
  <dcterms:created xsi:type="dcterms:W3CDTF">2017-07-18T08:10:00Z</dcterms:created>
  <dcterms:modified xsi:type="dcterms:W3CDTF">2017-10-26T14:29:00Z</dcterms:modified>
</cp:coreProperties>
</file>