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AF5438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за </w:t>
      </w:r>
      <w:r w:rsidR="0094772E" w:rsidRPr="0094772E">
        <w:rPr>
          <w:rFonts w:eastAsia="Times New Roman" w:cs="Times New Roman"/>
          <w:b/>
          <w:bCs/>
          <w:szCs w:val="28"/>
          <w:lang w:eastAsia="ru-RU"/>
        </w:rPr>
        <w:t>второй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 квартал 2014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>(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за </w:t>
      </w:r>
      <w:r w:rsidR="0094772E" w:rsidRPr="0094772E">
        <w:rPr>
          <w:rFonts w:eastAsia="Times New Roman" w:cs="Times New Roman"/>
          <w:b/>
          <w:bCs/>
          <w:szCs w:val="28"/>
          <w:lang w:eastAsia="ru-RU"/>
        </w:rPr>
        <w:t>второй</w:t>
      </w:r>
      <w:r w:rsidR="00F06C3B" w:rsidRPr="00F06C3B">
        <w:rPr>
          <w:rFonts w:eastAsia="Times New Roman" w:cs="Times New Roman"/>
          <w:b/>
          <w:bCs/>
          <w:szCs w:val="28"/>
          <w:lang w:eastAsia="ru-RU"/>
        </w:rPr>
        <w:t xml:space="preserve"> квартал 2014 года</w:t>
      </w:r>
      <w:r w:rsidRPr="0080359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03594" w:rsidRPr="00EC6040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 второго квартала 2014 года проведено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27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плановых выездных проверок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квоты для трудоустройства инвалидов, что составляет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 второй квартал 2014 года.</w:t>
      </w:r>
      <w:proofErr w:type="gramEnd"/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27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актов проверок.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В ходе проверок было выявлены нарушения п. 1 ст.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«Лужский абразивный завод» и в ОАО «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«Лужский абразивный завод» и ОАО «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 В настоящий момент предписания исполнены.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 в отношении должностного лица ОАО «Лужский абразивный завод» и в отношении должностного лица ОАО «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  <w:proofErr w:type="gramEnd"/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 Мировые судья вынесли постановления, в которых должностные лица, вышеназванных организаций, привлечены к административной ответственности в виде штрафа 5000 рублей на каждое должностное лицо.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Комитетом организована работа центров занятости населения по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соблюдением законодательства о занятости работодателями Ленинградской области.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Центрами занятости населения за январь-июнь 2014 года выявлено 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нарушения, допущенных работодателями в сфере занятости населения (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случая 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договоров).</w:t>
      </w:r>
      <w:proofErr w:type="gramEnd"/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случаям (Кингисепп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94772E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94772E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 </w:t>
      </w:r>
      <w:r w:rsidRPr="0094772E">
        <w:rPr>
          <w:rFonts w:eastAsia="Times New Roman" w:cs="Times New Roman"/>
          <w:sz w:val="24"/>
          <w:szCs w:val="24"/>
          <w:lang w:eastAsia="ru-RU"/>
        </w:rPr>
        <w:t>приняты следующие меры: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-        центрами занятости населения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сформировано и направлено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в органы прокуратуры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материала по работодателям, допустившим нарушения, для принятия в отношении них мер прокурорского реагирования (Кингисепп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94772E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94772E">
        <w:rPr>
          <w:rFonts w:eastAsia="Times New Roman" w:cs="Times New Roman"/>
          <w:sz w:val="24"/>
          <w:szCs w:val="24"/>
          <w:lang w:eastAsia="ru-RU"/>
        </w:rPr>
        <w:t>).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материалов направленными центрами занятости населения прокуратурами районов приняты следующие меры: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         - прокуратурой района взято с руководителя организации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объяснительная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(Кингисепп -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94772E">
        <w:rPr>
          <w:rFonts w:eastAsia="Times New Roman" w:cs="Times New Roman"/>
          <w:sz w:val="24"/>
          <w:szCs w:val="24"/>
          <w:lang w:eastAsia="ru-RU"/>
        </w:rPr>
        <w:t>);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- в ходе проверки нарушений не выявлено, и оснований для принятия мер прокурорского реагирования не имеется (Кировск -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94772E">
        <w:rPr>
          <w:rFonts w:eastAsia="Times New Roman" w:cs="Times New Roman"/>
          <w:sz w:val="24"/>
          <w:szCs w:val="24"/>
          <w:lang w:eastAsia="ru-RU"/>
        </w:rPr>
        <w:t>);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-        информация о мерах принятых по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материалам, направленных в районные прокуратуры, в центры занятости населения не поступала (Кингисепп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94772E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94772E">
        <w:rPr>
          <w:rFonts w:eastAsia="Times New Roman" w:cs="Times New Roman"/>
          <w:sz w:val="24"/>
          <w:szCs w:val="24"/>
          <w:lang w:eastAsia="ru-RU"/>
        </w:rPr>
        <w:t>).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 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о занятости населения центрами занятости населения Ленинградской области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проведены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выездные проверки центров занятости населения.</w:t>
      </w:r>
      <w:proofErr w:type="gramEnd"/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По  результатам  плановых выездных проверок  было составлено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акта проверки (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 в области занятости населения;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32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нарушения законодательства о занятости населения и требований Административных регламентов. Основные нарушения допущены в следующих сферах: по  организации проведения оплачиваемых общественных работ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19;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безработных граждан -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8</w:t>
      </w:r>
      <w:r w:rsidRPr="0094772E">
        <w:rPr>
          <w:rFonts w:eastAsia="Times New Roman" w:cs="Times New Roman"/>
          <w:sz w:val="24"/>
          <w:szCs w:val="24"/>
          <w:lang w:eastAsia="ru-RU"/>
        </w:rPr>
        <w:t>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Тосненский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нарушений; 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Приозерский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5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нарушений;  Лужский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нарушения; Бокситогорский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нарушения.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Наименьшее количество нарушений выявлено в следующих центрах занятости населения: Кингисеппский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нарушение; Кировский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 нарушение; Ломоносовский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94772E">
        <w:rPr>
          <w:rFonts w:eastAsia="Times New Roman" w:cs="Times New Roman"/>
          <w:sz w:val="24"/>
          <w:szCs w:val="24"/>
          <w:lang w:eastAsia="ru-RU"/>
        </w:rPr>
        <w:t xml:space="preserve">нарушение; </w:t>
      </w:r>
      <w:proofErr w:type="spellStart"/>
      <w:r w:rsidRPr="0094772E">
        <w:rPr>
          <w:rFonts w:eastAsia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94772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94772E">
        <w:rPr>
          <w:rFonts w:eastAsia="Times New Roman" w:cs="Times New Roman"/>
          <w:sz w:val="24"/>
          <w:szCs w:val="24"/>
          <w:lang w:eastAsia="ru-RU"/>
        </w:rPr>
        <w:t>нарушение.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- в центрах занятости населения разрабатывались планы работы по устранению выявленных нарушений, с последующим представлением в комитет директорами центрами занятости населения информации  об устранении выявленных нарушений, отмеченных в актах проверок;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 xml:space="preserve">- комитетом </w:t>
      </w:r>
      <w:proofErr w:type="gramStart"/>
      <w:r w:rsidRPr="0094772E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94772E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- 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94772E" w:rsidRPr="0094772E" w:rsidRDefault="0094772E" w:rsidP="0094772E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4772E">
        <w:rPr>
          <w:rFonts w:eastAsia="Times New Roman" w:cs="Times New Roman"/>
          <w:sz w:val="24"/>
          <w:szCs w:val="24"/>
          <w:lang w:eastAsia="ru-RU"/>
        </w:rPr>
        <w:t>- 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 </w:t>
      </w:r>
    </w:p>
    <w:p w:rsidR="0094772E" w:rsidRPr="0094772E" w:rsidRDefault="0094772E" w:rsidP="0094772E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</w:p>
    <w:p w:rsidR="00222D96" w:rsidRDefault="00222D96" w:rsidP="0094772E">
      <w:pPr>
        <w:spacing w:before="100" w:beforeAutospacing="1" w:after="100" w:afterAutospacing="1"/>
        <w:jc w:val="both"/>
      </w:pPr>
      <w:bookmarkStart w:id="0" w:name="_GoBack"/>
      <w:bookmarkEnd w:id="0"/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E63C0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52D"/>
    <w:multiLevelType w:val="multilevel"/>
    <w:tmpl w:val="22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4772E"/>
    <w:rsid w:val="009C5B63"/>
    <w:rsid w:val="00AF5438"/>
    <w:rsid w:val="00DE50CD"/>
    <w:rsid w:val="00EC6040"/>
    <w:rsid w:val="00F0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7</cp:revision>
  <dcterms:created xsi:type="dcterms:W3CDTF">2017-10-12T10:27:00Z</dcterms:created>
  <dcterms:modified xsi:type="dcterms:W3CDTF">2017-10-12T10:45:00Z</dcterms:modified>
</cp:coreProperties>
</file>