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за 3 квартал 2015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(за </w:t>
      </w:r>
      <w:r>
        <w:rPr>
          <w:rFonts w:eastAsia="Times New Roman" w:cs="Times New Roman"/>
          <w:b/>
          <w:bCs/>
          <w:szCs w:val="28"/>
          <w:lang w:val="en-US" w:eastAsia="ru-RU"/>
        </w:rPr>
        <w:t>3</w:t>
      </w: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квартал 201</w:t>
      </w:r>
      <w:r>
        <w:rPr>
          <w:rFonts w:eastAsia="Times New Roman" w:cs="Times New Roman"/>
          <w:b/>
          <w:bCs/>
          <w:szCs w:val="28"/>
          <w:lang w:val="en-US" w:eastAsia="ru-RU"/>
        </w:rPr>
        <w:t xml:space="preserve">5 </w:t>
      </w:r>
      <w:r w:rsidRPr="00803594">
        <w:rPr>
          <w:rFonts w:eastAsia="Times New Roman" w:cs="Times New Roman"/>
          <w:b/>
          <w:bCs/>
          <w:szCs w:val="28"/>
          <w:lang w:eastAsia="ru-RU"/>
        </w:rPr>
        <w:t>года)</w:t>
      </w:r>
    </w:p>
    <w:bookmarkEnd w:id="0"/>
    <w:p w:rsidR="00803594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 в течение третьего квартала 2015 года проведены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33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плановые выездные проверки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квоты для трудоустройства инвалидов, что составляет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 третий квартал 2015 года.</w:t>
      </w:r>
      <w:proofErr w:type="gramEnd"/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В ходе проверок были выявлены нарушения пункта 1 статьи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Терминал», ООО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» и в ОАО «Тихвинский 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Терминал», ООО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» и ОАО «Тихвинский 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 В настоящий момент предписания исполнены.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 в отношении должностных лиц ОАО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Терминал», ООО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» и ОАО «Тихвинский 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  <w:proofErr w:type="gramEnd"/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 Мировые судьи вынесли  постановления, согласно которым должностные лица ОАО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-Лужский Контейнерный Терминал» и ОАО «Тихвинский 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», привлечены к административной ответственности в виде штрафов по 5000 рублей. Производство по делу об административном правонарушении в отношении должностного лиц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а ООО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E1C4A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2E1C4A">
        <w:rPr>
          <w:rFonts w:eastAsia="Times New Roman" w:cs="Times New Roman"/>
          <w:sz w:val="24"/>
          <w:szCs w:val="24"/>
          <w:lang w:eastAsia="ru-RU"/>
        </w:rPr>
        <w:t>»  прекращено постановлением мирового судьи.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br/>
        <w:t>о занятости населения центрами занятости населения Ленинградской области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проведены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28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выездные проверки центров занятости населения.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234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нарушения законодательства о занятости населения</w:t>
      </w:r>
      <w:r w:rsidRPr="002E1C4A">
        <w:rPr>
          <w:rFonts w:eastAsia="Times New Roman" w:cs="Times New Roman"/>
          <w:sz w:val="24"/>
          <w:szCs w:val="24"/>
          <w:lang w:eastAsia="ru-RU"/>
        </w:rPr>
        <w:br/>
        <w:t xml:space="preserve">и требований Административных регламентов.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 xml:space="preserve">Основные нарушения допущены в сфере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</w:t>
      </w:r>
      <w:r w:rsidRPr="002E1C4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учреждений начального и среднего профессионального образования, ищущих работу впервые  -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222</w:t>
      </w:r>
      <w:r w:rsidRPr="002E1C4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Тихвинский центр занятости населения –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29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нарушения; Всеволожский центр занятости населения –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41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нарушение;  Кировский центр занятости населения – </w:t>
      </w: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114</w:t>
      </w:r>
      <w:r w:rsidRPr="002E1C4A">
        <w:rPr>
          <w:rFonts w:eastAsia="Times New Roman" w:cs="Times New Roman"/>
          <w:sz w:val="24"/>
          <w:szCs w:val="24"/>
          <w:lang w:eastAsia="ru-RU"/>
        </w:rPr>
        <w:t xml:space="preserve"> нарушений.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Не выявлено нарушений в следующих центрах занятости населения: Бокситогорский центр занятости населения, Ломоносовский центр занятости населения, Тосненский центр занятости населения, Выборгский центр занятости населения.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- в центрах занятости населения разрабатывались планы работы по устранению выявленных нарушений, с последующим представлением в комитет директорами центрами занятости населения информации  об устранении выявленных нарушений, отмеченных в актах проверок;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- комитетом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- 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- 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Два директора центров занятости населения Ленинградской области были привлечены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дисциплинарной ответственности за ненадлежащее осуществление текущего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предоставлением государственных услуг.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b/>
          <w:bCs/>
          <w:sz w:val="24"/>
          <w:szCs w:val="24"/>
          <w:lang w:eastAsia="ru-RU"/>
        </w:rPr>
        <w:t>Борьба с распространением вакансий дискриминационного характера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Комитетом по труду и занятости населения Ленинградской области осуществляется надзор за соблюдением запрета на распространение информации о свободных рабочих местах или вакантных должностях, содержащей ограничения дискриминационного характера (по признаку возраста, пола и т.п.).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рамках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указанного надзора комитетом осуществляется мониторинг средств массовой информации на предмет выявления вакансий дискриминационного характера.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По состоянию на 30 сентября 2015 года комитетом было составлено два протокола об административных правонарушениях в отношении средств массовой информации, допустивших размещение вакансий дискриминационного характера (По статье 13.11.1.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C4A">
        <w:rPr>
          <w:rFonts w:eastAsia="Times New Roman" w:cs="Times New Roman"/>
          <w:sz w:val="24"/>
          <w:szCs w:val="24"/>
          <w:lang w:eastAsia="ru-RU"/>
        </w:rPr>
        <w:t>Кодекса Российской Федерации об  административных правонарушениях - распространение информации о свободных рабочих местах или вакантных должностях, содержащей ограничения дискриминационного характера).</w:t>
      </w:r>
      <w:proofErr w:type="gramEnd"/>
      <w:r w:rsidRPr="002E1C4A">
        <w:rPr>
          <w:rFonts w:eastAsia="Times New Roman" w:cs="Times New Roman"/>
          <w:sz w:val="24"/>
          <w:szCs w:val="24"/>
          <w:lang w:eastAsia="ru-RU"/>
        </w:rPr>
        <w:t xml:space="preserve"> Протоколы составлены в отношении следующих должностных лиц:</w:t>
      </w:r>
    </w:p>
    <w:p w:rsidR="002E1C4A" w:rsidRPr="002E1C4A" w:rsidRDefault="002E1C4A" w:rsidP="002E1C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главного редактора газеты бесплатных частных объявлений «Семь плюс экспресс»;</w:t>
      </w:r>
    </w:p>
    <w:p w:rsidR="002E1C4A" w:rsidRPr="002E1C4A" w:rsidRDefault="002E1C4A" w:rsidP="002E1C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t>главного редактора газеты «Восточный берег».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1C4A">
        <w:rPr>
          <w:rFonts w:eastAsia="Times New Roman" w:cs="Times New Roman"/>
          <w:sz w:val="24"/>
          <w:szCs w:val="24"/>
          <w:lang w:eastAsia="ru-RU"/>
        </w:rPr>
        <w:lastRenderedPageBreak/>
        <w:t>По итогу рассмотрения указанных протоколов два должностных лица привлечены к административной ответственности на общую сумму штрафа 6000 руб.</w:t>
      </w:r>
    </w:p>
    <w:p w:rsidR="002E1C4A" w:rsidRPr="002E1C4A" w:rsidRDefault="002E1C4A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1C4A" w:rsidRPr="002E1C4A" w:rsidRDefault="002E1C4A" w:rsidP="002E1C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2D96" w:rsidRDefault="00222D96"/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2</cp:revision>
  <dcterms:created xsi:type="dcterms:W3CDTF">2017-10-12T10:27:00Z</dcterms:created>
  <dcterms:modified xsi:type="dcterms:W3CDTF">2017-10-12T10:27:00Z</dcterms:modified>
</cp:coreProperties>
</file>