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053923">
        <w:trPr>
          <w:trHeight w:hRule="exact" w:val="573"/>
        </w:trPr>
        <w:tc>
          <w:tcPr>
            <w:tcW w:w="15618" w:type="dxa"/>
            <w:gridSpan w:val="6"/>
          </w:tcPr>
          <w:p w:rsidR="00053923" w:rsidRDefault="00053923">
            <w:bookmarkStart w:id="0" w:name="_GoBack"/>
            <w:bookmarkEnd w:id="0"/>
          </w:p>
        </w:tc>
      </w:tr>
      <w:tr w:rsidR="00053923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053923">
        <w:trPr>
          <w:trHeight w:hRule="exact" w:val="43"/>
        </w:trPr>
        <w:tc>
          <w:tcPr>
            <w:tcW w:w="15618" w:type="dxa"/>
            <w:gridSpan w:val="6"/>
          </w:tcPr>
          <w:p w:rsidR="00053923" w:rsidRDefault="00053923"/>
        </w:tc>
      </w:tr>
      <w:tr w:rsidR="00053923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053923">
        <w:trPr>
          <w:trHeight w:hRule="exact" w:val="43"/>
        </w:trPr>
        <w:tc>
          <w:tcPr>
            <w:tcW w:w="15618" w:type="dxa"/>
            <w:gridSpan w:val="6"/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Содействие занятости (Ленинградская область)</w:t>
            </w:r>
          </w:p>
        </w:tc>
      </w:tr>
      <w:tr w:rsidR="00053923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053923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занятости (Ленинградская область)</w:t>
            </w:r>
          </w:p>
        </w:tc>
      </w:tr>
      <w:tr w:rsidR="00053923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занятости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053923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 Н.П.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Ленинградской области по социальным вопросам</w:t>
            </w:r>
          </w:p>
        </w:tc>
      </w:tr>
      <w:tr w:rsidR="00053923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Астратова А.Ю.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</w:tr>
      <w:tr w:rsidR="00053923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Ермолинская А.В.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</w:tr>
      <w:tr w:rsidR="00053923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053923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  <w:tr w:rsidR="00053923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053923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дошкольного образования детей Ленинградской области"</w:t>
            </w:r>
          </w:p>
        </w:tc>
      </w:tr>
    </w:tbl>
    <w:p w:rsidR="00053923" w:rsidRDefault="00053923">
      <w:pPr>
        <w:sectPr w:rsidR="00053923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053923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дополнительно созданных мест с целью обеспечения дошкольным образованием детей в возрасте  до 3 лет нарастающим итогом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мест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0,4100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0,9200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0,9200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0,9200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0,9200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99,1400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99,6700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Снижение напряжённости на рынке труда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занятых граждан из числа участников дополнительных мероприятий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2022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дополнительно созданных мест с целью обеспечения дошкольным образованием детей в возрасте  до 3 лет нарастающим итогом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мест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0,9200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Снижение напряжённости на рынке труда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занятых граждан из числа участников дополнительных мероприятий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29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Снижение напряжённости на рынке труда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Приняли участие в мероприятиях по организации временного трудоустройства граждане из числа работников, находящихся под риском увольнения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временных работ (компенсация работодателям расходов на частичную оплату труда при организации временного трудоустройства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работников, находящихся под риском увольнения и материально-техническое обеспечение работ).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Участники – работники, находящи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еся под риском увольнения (введение режима неполного рабочего времени, 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Оказание услуг (выполнение работ)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8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временная остановка работ, предоставление отпусков без сохранения заработной платы, проведение мероприятий по высвобождению работников).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Планируемая численность участников в 2023 году – 123 303 человек.Период проведения временных работ – не превышает 3 месяца. Для системообразующих организаций российской экономики, градообразующих организаций в монопрофильных муниципальных образованиях, а 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7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также организаций, аффилированных с системообразующими организациями российской экономики не превышает 6 месяцев. Размер выплаты на одного работника в месяц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– один МРОТ, увеличенный на страховые взносы в государственные внебюджетные фонды и районный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оэффициент (МРОТ x 1,3 x Kрег.). Размер выплаты на материально-техническое обеспечение - 10 тыс. рублей на одного работника за весь период.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0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0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осуществления трудовой деятельности женщин, имеющих детей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Рреализация мероприятий по приведению режима работы муниципальных образовательных организаций Ленинградской области, реализующих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образовательные программы дошкольного образования, с учетом графиков трудовой деятельности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Обеспечение реализации федерального проекта (результата федераль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ного проекта)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9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2.2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здание к концу 2021 года не менее 580 дополнительных мест для детей в возрасте от полутора до трех лет  за счет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мест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0,4200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0,5800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Создание к концу 2021 года не менее 580 дополнительных мест для детей в возрасте от </w:t>
            </w:r>
          </w:p>
          <w:p w:rsidR="00053923" w:rsidRDefault="0005392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Строительство (реконструкция, техническое 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55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приобретения в муниципальную собственность объектов дошкольного образования. 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полутора до трех лет  за счет приобретения в муницпальную собственность объектов дошкольного образования</w:t>
            </w:r>
          </w:p>
          <w:p w:rsidR="00053923" w:rsidRDefault="0005392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перевооружение, приобретение) объекта недвижимого имущества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3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Снижение напряжённости на рынке труда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21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Приняли участие в мероприятиях по организации общественных работ граждане, зарегистрированные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общественных работ (компенсация работодателям расходов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работ)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0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7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безработных граждан).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Участники – граждане, зарегистрированные в органах службы занятости в целях поиска подходящей работы, включая безработных граждан.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Планируемая численность участников в 2023 году – 40,233 тыс. человек.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 проведения общественн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работ – до 3-х месяцев.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Размер выплаты на одного человека в месяц – один МРОТ, увеличенный на страховые взносы и районный коэффициент 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(МРОТ x 1,3 x Kрег.).</w:t>
            </w:r>
          </w:p>
          <w:p w:rsidR="00053923" w:rsidRDefault="0005392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дополнительные места в дошкольных организациях для детей в возрасте от 1,5 до 3 лет за счет средств бюджетов субъектов Российской Федерации и местных бюджетов (без софинансирования из федерального бюджета и за исключением дополнительных мест, 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ние которых предусматривается в рамках исполнения подпункта «б» пункта 9 Правил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мест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0,0900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0,0900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дополнительные места в дошкольных организациях для детей в возрасте от 1,5 до 3 лет за счет средств бюджетов субъектов Российской Федерации и местных бюджетов (без софинансирования из федерального бюджета и за исключением дополнительных мест, созда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ние которых предусматривается в рамках исполнения 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реализации федерального проекта (результата федерального проекта)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7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предоставления и распределения иных межбюджетных трансфертов из федерального бюджета на создание дополнительных мест для детей в возрасте от 2 месяцев до 3 лет и подпункта «б» пункта 9 Правил предоставления и распределения субсидий из федерального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создание дополнительных мест для детей в возрасте от 1,5 до 3 лет), тыс. мест, нарастающим итогом.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подпункта «б» пункта 9 Правил предоставления и распределения иных межбюджетных трансфертов из федерального бюджета на создан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ие дополнительных мест для детей в возрасте от 2 месяцев до 3 лет и подпункта «б» пункта 9 Правил предоставления и распределения субсидий из федерального бюджета на создание дополнительных мест для детей в возрасте от 1,5 до 3 лет), тыс. мест, нарастающим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итогом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5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7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0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4.2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к концу 2019 года не менее 200 дополнительных мест для детей в возрасте от полутора до трех лет  за счет приобретения в муниципальную собственность объектов дошкольного образования.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мест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0,2000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к концу 2019 года не менее 200 дополнительных мест для детей в возрасте от полутора до трех лет  за счет приобретения в муницпальную собственность объектов дошкольного образования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76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5.1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2019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Количество центров занятости населения в субъектах Российской Федерации, в которых реализуются или реализованы </w:t>
            </w:r>
          </w:p>
          <w:p w:rsidR="00053923" w:rsidRDefault="0005392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Обеспечение реализации федерального проекта (результата 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проекты по модернизации - не менее 320 к концу 2024 года</w:t>
            </w:r>
          </w:p>
          <w:p w:rsidR="00053923" w:rsidRDefault="0005392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проекта)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6.1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дополнительные места в Ленинградской области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осуществляющих образовательную деятельность по образовательным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Место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орагнизациях,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ательную деятельность по образовательным программам дошкольного 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реализации федерального проекта (результата федерального проекта)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программам дошкольного образования, в том числе адаптированным, и присмотр и уход за детьми.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образования, в том числе адаптированным, и присмотр и уход за детьми позволит: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доступность дошкольного образования;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удовлетворить актуальный спрос населения в дошкольном образовании и присмотре и уходе за детьми;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потенциальную возможность для выхода на работу экономически активных родителей (законных представителей), имеющих детей дошкольного возраста;</w:t>
            </w:r>
          </w:p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7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1,5 до 3 лет, а также повышения материально-финансовой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остоятельности семей.</w:t>
            </w: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5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7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Снижение напряжённости на рынке труда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7.1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Прошли профессиональное обучение и получили дополнительное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профессионального обучения и </w:t>
            </w:r>
          </w:p>
          <w:p w:rsidR="00053923" w:rsidRDefault="00053923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Оказание услуг (выполнение 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053923" w:rsidRDefault="00053923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464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профессиональное образование  работники промышленных предприятий оборонно-промышленного комплекса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дополнительного профессионального образования работников промышленных предприятий оборонно-промышленного комплекса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Планируемая численность участн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иков в 2023 году – 12,75 тыс. человек. Средняя стоимость за курс обучения одного человека – 59,58 тыс. рублей..</w:t>
            </w:r>
          </w:p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53923" w:rsidRDefault="00053923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работ)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4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69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287"/>
        </w:trPr>
        <w:tc>
          <w:tcPr>
            <w:tcW w:w="16191" w:type="dxa"/>
            <w:gridSpan w:val="54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053923" w:rsidRDefault="00DC40F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053923" w:rsidRDefault="00DC40F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53923" w:rsidRDefault="00053923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053923" w:rsidRDefault="00053923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Снижение напряжённости на рынке труда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50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Прошли профессиональное обучение и получили дополнительное профессиональное образование  работники промышленных предприятий оборонно-промышленного комплекса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9 711,54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9 711,54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9 711,54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9 711,54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9 711,54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9 711,54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30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50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Приняли участие в мероприятиях по организации временного трудоустройства граждане из числа работников, находящихся под риском увольнения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30 878,20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30 878,20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30 878,20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30 878,20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30 878,20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30 878,20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Приняли участие в мероприятиях по организации общественных работ граждане, зарегистрированные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17 293,20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17 293,20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17 293,20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17 293,20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17 293,20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17 293,20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57 882,94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77 882,94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6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консолидированный бюджет субъекта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57 882,94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77 882,94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053923" w:rsidRDefault="00053923"/>
        </w:tc>
        <w:tc>
          <w:tcPr>
            <w:tcW w:w="573" w:type="dxa"/>
            <w:gridSpan w:val="2"/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центров занятости населения в субъектах Российской 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дерации, в которых реализуются или реализованы проекты по модернизации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Снижение напряжённости на рынке труда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Прошли профессиональное обучение и получили дополнительное профессиональное образование  работники промышленных предприятий оборонно-промышленного комплекса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Приняли участие в мероприятиях по организации временного трудоустройства граждане из числа работников, находящихся под риском увольнения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Приняли участие в мероприятиях по организации общественных работ граждане, зарегистрированные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053923" w:rsidRDefault="00053923"/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15904" w:type="dxa"/>
            <w:gridSpan w:val="5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1. О создании условий для осуществления трудовой деятельности женщин, имеющих детей.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Мероприятие «Профессиональное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лет» предусматривает организацию повышения квалификации, профессиональную подготовку и переподг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отовку женщин, находящихся в отпуске по уходу за ребенком в возрасте до трех лет (далее – женщины), и реализуется в целях повышения конкурентоспособности на рынке труда и профессиональной мобильности, обеспечивающих возможность совмещать трудовую занятость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данной категории женщин с семейными обязанностями.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данным отчета «Перечень организаций, отчитавшихся по форме П-4 (НЗ) «Сведения о неполной занятости и движении работников» базы данных «Официальная статистика», и отчета «Ежемесячное пособие по уходу 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ребенком, не подлежащим обязательному социальному страхованию» (сведения из БД АИС «Соцзащита» по отдельным категориям граждан, имеющих право на меры социальной поддержки из областного и федеральных бюджетов) в Ленинградской области в 2016 году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женщин, имеющих детей в возрасте от 0 до 3 лет, составило 23230 человек, в 2017 году – 22577 человек.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женщин с семейной нагрузкой должны создаваться условия, позволяющие в наибольшей степени соблюсти баланс между работой и воспитанием ребенка, в том 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исле путем организации профессионального обучения и дополнительного образования в связи с желанием смены сферы профессиональной деятельности, профессии, освоения дополнительных профессиональных навыков в целях совмещения трудовой деятельности с семейными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бязанностями. 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в рамках Государственной программы «Содействие занятости населения Ленинградской области» от 7 декабря 2015 года № 466, а также в целях реализации Указа Президента Российской Федерации от 7 мая 2012 года № 606 «О мерах по 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демографической политики Российской Федерации» комитет по труду и занятости населения Ленинградской области осуществляет работу, направленную на создание условий для совмещения женщинами обязанностей по воспитанию детей с трудовой занятостью, а также по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рганизации профессионального обучения женщин.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2017 году за содействием в поиске подходящей работы обратилось 2544 женщины, имеющие несовершеннолетних детей. Трудоустроено 1315 женщин, имеющих несовершеннолетних детей (51,7% от количества женщин этой кате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гории).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2018 год в органы службы занятости Ленинградской области за содействием в поиске подходящей работы обратилось 1548 женщин, имеющих несовершеннолетних детей, из них трудоустроено 587 (40 % от обратившихся). 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 2017 году приступили к профессиональному обучению и дополнительному профессиональному образованию по направлению службы занятости 227 женщин. Профессиональное обучение женщин осуществлялось под конкретные рабочие места по 25 профессиям (направлениям подг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отовки): парикмахер, бухгалтер, 1С:Бухгалтерия, 1С:Управление торговлей, «Теория и методика дошкольного образования», маникюрша, портной, повар, специалист кадровой службы, специалист по закупкам, сестринское дело в педиатрии и др.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2018 год на профессио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нальное обучение и получение дополнительного профессионального образования была направлена 281 женщина. Профессиональное обучение женщин осуществлялось под конкретные рабочие места по 30 наименованиям профессий (образовательных программ): «Бухгалтер», «1С: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Бухгалтерия», «Теория и методика дошкольного образования» (воспитатель), «Маникюрша», «Парикмахер», «Складской учет на ПК», «Сметное дело», «Управление государственными и муниципальными закупками», «Информационные технологии для работников в сфере 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ния» и «Отоларингология» (повышение квалификации), «Обучение детей с ограниченными возможностями» (повышение квалификации) и др.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 из практики организации профессионального обучения женщин в рамках реализации Государственной программы предполагается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2019-2024 гг. (ежегодно) обучать не менее 200 женщин. Всего 1200 человек. На организацию профессионального обучения женщин предполагается ежегодное выделение средств из регионального бюджета в 2019-2024 годах в размере 4 898,5 млн. рублей.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реализ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ации регионального проекта «Создание условий для осуществления трудовой занятости женщин с детьми, включая ликвидацию очереди в ясли для детей до трех лет с 2020 по 2024 годы» планируется направить на  профессиональное обучение и дополнительное профессиона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льное образование за счет средств федерального бюджета в сумме 99,85 тыс. руб. 1965 женщин.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 </w:t>
            </w:r>
          </w:p>
          <w:p w:rsidR="00053923" w:rsidRDefault="000539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5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021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020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865"/>
        </w:trPr>
        <w:tc>
          <w:tcPr>
            <w:tcW w:w="15904" w:type="dxa"/>
            <w:gridSpan w:val="5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2. О создании в Ленинградской области дополнительных мест для детей в возрасте до трех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и присмотр и у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ход.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Ленинградской области создание новых мест в образовательных организациях осуществляется в рамках реализации государственной программы «Современное образование Ленинградской области».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Дополнительные места создаются за счет строительства, выкупа, капи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тального ремонта, развития вариативных форм дошкольного образования (создание групп кратковременного пребывания, открытие консультационных центров для детей, не посещающих детский сад, использование внутренних резервов функционирующих организаций, использо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вание ресурсов организаций других типов).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  2018  году в Ленинградской области созданы всего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2 662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новых места для реализации программ дошкольного образования,  в том числе 961 место для детей от 0 до 3 лет: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выкуплено у ОАО «РЖД» здание детского сада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 Тосно Тосненского района, где дополнительно было создано 110 мест (в том числе 47 мест для детей до 3 лет);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построен новый детский сад на 220 мест (в том числе 0 мест для детей до 3 лет) по адресу: Всеволожский район,  г. Кудрово, ул. Пражская, д. 17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приобретены у застройщиков здания детских садов на 1000 мест (в том числе 469 мест для детей до 3 лет) во Всеволожском районе: 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г. Сертолово, ул. Д.Кожемякина, д.9 (300 мест (в том числе 40 мест для детей до 3 лет)),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п. Мурино, б-р Менделеева, д. 13 (140 мест (в том числе 76 мест для детей до 3 лет)),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п. Мурино, Воронцовский б-р, д.6 (110 мест для детей до 3 лет),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п. Мурино, Охтинская ал., д.8 (110 мест для детей до 3 лет),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п. Мурино, б-р Менделеева, д. 2к3 (100 мест (в том числе 33 места для детей до 3 лет)), п. Мурино, Петровский б-р, д.11к2 (140 мест (в том числе 60 мест для детей до 3 лет)),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п. Мурино, Воронцовский б-р, д.10 (100 мест (в том числе 40 мест для детей до 3 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ет));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п. Мурино, б-р Менделеева, д.12 (100 мест (в том числе 40 мест для детей до 3 лет)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результате произведения работ по капитальному ремонту в детских садах Тосненского района, были открыты группы на 79 мест (в том числе 0 мест для детей до 3 лет) 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ойскорово и Федоровское);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открыта группа для детей раннего возраста в г. Всеволожске на 20 мест по адресу г. Всеволожск, ул. Шишканя, д. 14;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г. Гатчина Гатчинского района передана 1 группа учреждения социальной защиты «Реабилитационный центр для дете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и подростков с ограниченными возможностями «ДАРИНА»» под нужды детского сада (27 мест);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за счет средств областного бюджета было выкуплено 6 объектов образования, введенных в эксплуатацию по договорам пользования с застройщиками в 2017 году в п. Мурино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г. Кудрово Всеволожского района, а также выкуплено за счет средств федерального бюджета здание детского сада в п. Мурино Всеволожского района, также введенного в эксплуатацию в 2017 году;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рамках работы с негосударственным сектором создано 39 мест в 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ентре развития «Тигренок» г. Всеволожска;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- 941 дополнительное место создано за счет вариативных форм дошкольного образования (группы кратковременного пребывания, адаптационные группы, консультационные центы), а также за счет внутренних резервов функционир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ующих дошкольных образовательных организаций.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обеспечения доступности дошкольного образования во Всеволожском районе Ленинградской области в 2019 году запланировано: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- 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авершение строительства детского сада на 220 мест, расположенного в г.Всеволожс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ке, Торговый пр., д.144. В указанном детском саду будет открыто 2 группы на 40 мест для детей в возрасте до 3-х лет,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приобретение в муниципальную собственность за счет средств федерального, областного и местного бюджетов здания детского сада на 210 мест,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расположенного по адресу: п.Бугры, Воронцовский бульвар, д.5, к.3. В данном детском саду будут созданы 3 группы на 60 мест для детей в возрасте до 3-х </w:t>
            </w: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07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307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29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2078"/>
        </w:trPr>
        <w:tc>
          <w:tcPr>
            <w:tcW w:w="15904" w:type="dxa"/>
            <w:gridSpan w:val="5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лет,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заключение 5 договоров безвозмездного пользования зданиями и помещениями следующих детских садов: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МДОБУ «Муринский ДСКВ № 4», п.Мурино, Петровский бульвар, д.12, к.2 на 100 мест (в т.ч. 40 мест для детей до 3 лет),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МДОБУ «Муринский ДСКВ № 4», п.Мурино, структурное отделение, Петровский бульвар, д.3, к.2 на 100 мест (в т.ч. 40 мест для детей до 3 лет),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МОБУ «СОШ «Муринский центр образования № 1», структурное отделение, п.Мурино, бульвар Менделеева, д.11, к.4 на 140 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 (в т.ч. 40 мест для детей до 3 лет),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МДОУ «ДСКВ № 59» д.Новое Девяткино структурное отделение на 180 мест (в т.ч. 40 мест для детей до 3 лет),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МОУ «СОШ «Всеволожский центр образования», структурное отделение г.Всеволожск, ул.Сотникова, д.31 на 80 мест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т.ч. 20 мест для детей до 3 лет),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доукомплектование функционирующих ДОУ на 140  дополнительных мест.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планируется создание не менее 200 дополнительных мест для детей возрасте до 3 лет, в том числе, за счет заключения договоров безвозмездного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пользования зданиями дошкольных учреждений с застройщиками.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будут созданы не менее 420 новых мест за счет строительства  новых зданий дошкольных организаций,  за счет заключения договоров безвозмездного пользования зданиями дошкольных учрежден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 с застройщиками, за счет развития вариативных форм дошкольного образования.</w:t>
            </w:r>
          </w:p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Таким образом, к концу 2021 года запланировано создание не менее 580 мест для детей дошкольного возраста до 3-х лет за счет строительства и  за счет внутренних резервов дошкольн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организаций.</w:t>
            </w:r>
          </w:p>
          <w:p w:rsidR="00053923" w:rsidRDefault="000539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2063"/>
        </w:trPr>
        <w:tc>
          <w:tcPr>
            <w:tcW w:w="15904" w:type="dxa"/>
            <w:gridSpan w:val="5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287" w:type="dxa"/>
            <w:tcBorders>
              <w:left w:val="single" w:sz="5" w:space="0" w:color="000000"/>
            </w:tcBorders>
          </w:tcPr>
          <w:p w:rsidR="00053923" w:rsidRDefault="00053923"/>
        </w:tc>
      </w:tr>
    </w:tbl>
    <w:p w:rsidR="00053923" w:rsidRDefault="00053923">
      <w:pPr>
        <w:sectPr w:rsidR="00053923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053923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11176" w:type="dxa"/>
            <w:gridSpan w:val="8"/>
          </w:tcPr>
          <w:p w:rsidR="00053923" w:rsidRDefault="00053923"/>
        </w:tc>
        <w:tc>
          <w:tcPr>
            <w:tcW w:w="4728" w:type="dxa"/>
            <w:gridSpan w:val="3"/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11176" w:type="dxa"/>
            <w:gridSpan w:val="8"/>
          </w:tcPr>
          <w:p w:rsidR="00053923" w:rsidRDefault="00053923"/>
        </w:tc>
        <w:tc>
          <w:tcPr>
            <w:tcW w:w="4728" w:type="dxa"/>
            <w:gridSpan w:val="3"/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занятости (Ленинградская область)</w:t>
            </w:r>
          </w:p>
        </w:tc>
        <w:tc>
          <w:tcPr>
            <w:tcW w:w="287" w:type="dxa"/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860" w:type="dxa"/>
            <w:shd w:val="clear" w:color="auto" w:fill="auto"/>
          </w:tcPr>
          <w:p w:rsidR="00053923" w:rsidRDefault="00DC40F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053923" w:rsidRDefault="00DC40F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53923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в возрасте от полутора до трех лет имеют возможность получать дошкольное образование.</w:t>
            </w:r>
          </w:p>
        </w:tc>
      </w:tr>
      <w:tr w:rsidR="00053923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дополнительные места в Ленинградской области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Винокуров М.В.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орагнизациях, осуществляющих образовательную деятельность (за исключением 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позволит: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доступност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 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053923" w:rsidRDefault="00053923"/>
        </w:tc>
      </w:tr>
      <w:tr w:rsidR="00053923"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дошкольного образования;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удовлетворить актуальный спрос населения в дошкольном образовании и присмотре и уходе за детьми;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потенциальную возможность для выхода на работу экономически активных родителей (законных представителей), имеющих детей дошкольного возраста;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1,5 до 3 лет, а также повышения материально-финансовой состоятельнос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 семей.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20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20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4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"Внесение изменений в порядок предоставления субсидий юридическим лицам (за 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01.05.2021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Винокуров М.В.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о внесении изменений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исключением государственных (муниципальных),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уходу за детьми на создание дополнител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ть по образовательным программам дошкольного образования, в том числе адаптированным, и присмотр и уход за детьми"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9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9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6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"Проведение конкурса среди негосударственных образовательных организаций и индивидуальных 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31.05.2021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Винокуров М.В.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о победителях конкурсного отб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ора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на предоставление средств из субсидии из федерального бюджета на финансирование мер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оприятиий по созданию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яющих образовательную деятельность по образовательным программам дошкольного образования, в том числе адаптированным, и присмотр и уход за детьми"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20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20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4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"Заключение соглашений с юридическими лицами (за исключением государственных 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01.07.2021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Винокуров М.В.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субсидий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(муниципальных) и индивидуальными предпринимателями, осуществляющим образовательную деятельность по образовательным программам дошкольного образования, в том числе адаптированным, и присмотр и уходу за детьми, на создание дополнительных мест для детей в 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ограммам дошкольного образования, в том числе адаптированным, и присмотр и уход за детьми"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8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8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9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"Проведение мониторинга реализации мероприятий по созданию дополнительных мест для детей в возрасте от 1,5 до 3 лет любой направленности в организациях, 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25.12.2021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ьтатами и контрол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Винокуров М.В.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созданных местах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180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и присмотр и уход за детьми", значение: 0.0000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"Создание к концу 2019 года не менее 200 дополнительных мест для детей в возрасте от полутора до трех лет за счет приобретения в муниципальную собственность объектов дошкольного образования"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Огарков А.С.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к концу 2019 года не менее 200 дополнительных мест для детей в возрасте от полутора до трех лет  за счет приобретения в муниц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пальную собственность объектов дошкольного образования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Аналитическая информация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"Контрольная точка не задана"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"Создание к концу 2021 года не менее 580 дополнительных мест для детей в возрасте от полутора до трех лет за счет приобретения в муниципальную собственность объектов дошкольного образования"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Огарков А.С.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к концу 2021 года не менее 580 дополнительных мест для детей в возрасте от полутора до трех лет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 за счет приобретения в муницпальную собственность объектов дошкольного образования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24.12.2021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Огарков А.С.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ввода объекта в эксплуатацию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"Создано к концу 2021 года не менее 580 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24.12.2021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Винокуров М.В.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ввода объекта в эксплуатацию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дополнительных мест для детей в возрасте от полутора до трех лет за счет приобретения в муниципальную собственность объектов дошкольного образования"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Огарков А.С.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Огарков А.С.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Огарков А.С.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Огарков А.С.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053923" w:rsidRDefault="00053923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"Создание условий для осуществления трудовой деятельности женщин, имеющих детей"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01.01.2020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Винокуров М.В.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Рреализация мероприятий по приведени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ю режима работы муниципальных образовательных организаций Ленинградской области, 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реализующих образовательные программы дошкольного образования, с учетом графиков трудовой деятельности родителей (законных представителей) обучающихся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"Контрольная точка не задана"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1.5</w:t>
            </w:r>
          </w:p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"Созданы дополнительные места в дошкольных организациях для детей в возрасте от 1,5 до 3 лет за счет средств бюджетов субъектов Российской Федерации и местных бюджетов (без софинансирования из федерального бюджета и за исключением дополнительных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мест, создание которых 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Огарков А.С.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дополнительные места в дошкольных организациях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детей в возрасте от 1,5 до 3 лет за счет средств бюджетов субъектов Российской Федерации и местных бюджетов (без софинансирования из федерального бюджета и за исключением 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предусматривается в рамках исполнения подпункта «б» пункта 9 Правил предоставления и распределения иных межбюджетных трансфертов из федерального бюджета на создание дополнительных мест для детей в возрасте от 2 месяцев до 3 лет и подпункта «б» пункта 9 Пра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 предоставления и распределения субсидий из федерального бюджета на создание дополнительных мест для детей в возрасте от 1,5 до 3 лет), тыс. мест, нарастающим итогом"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дополнительных мест, создание которых предусматривается в рамках исполнения подпункта «б» пункта 9 Правил предоставления и распределения иных межбюджетных трансфертов из федерального бюджета на создание дополнительных мест для детей в возрасте от 2 месяцев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 3 лет и подпункта «б» пункта 9 Правил предоставления и распределения субсидий из федерального бюджета на создание дополнительных мест для детей в возрасте от 1,5 до 3 лет), тыс. мест, нарастающим итогом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272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"Контрольная точка не задана"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      </w:r>
          </w:p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"Количество центров занятости населения в субъектах Российской Федерации, в которых реализуются или реализованы проекты по модернизации"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01.01.2021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Астратова А.Ю.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 - не менее 320 к концу 2024 года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 комитета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"Закупка включена в план закупок", значение: 0.0000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31.05.2022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Исполнение плана закупок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 комитета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84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"Сведения о государственном 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30.06.2022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Сведения о 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 комитета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(муниципальном) контракте внесены в реестр контрактов, заключенных заказчиками по результатам закупок", значение: 0.0000, Единиц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 контрактах внесены в реестр контрактов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приемка поставленных товаров, выполненных работ, оказанных услуг", значение: 0.0000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31.10.2022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Обеспечена приемка поставленных товаров, выполненных работ, оказанных услуг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 комитета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30.11.2022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Произведена оплата поставленных товаров, выполненных работ, оказанных услуг по государственному контракту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 комитета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Обеспечен мониторинг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Сайт комитета</w:t>
            </w:r>
          </w:p>
          <w:p w:rsidR="00053923" w:rsidRDefault="00053923"/>
        </w:tc>
      </w:tr>
      <w:tr w:rsidR="00053923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Снижение напряжённости на рынке труда </w:t>
            </w:r>
          </w:p>
        </w:tc>
      </w:tr>
      <w:tr w:rsidR="00053923">
        <w:trPr>
          <w:trHeight w:hRule="exact" w:val="159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3.1</w:t>
            </w:r>
          </w:p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"Прошли профессиональное обучение и получили дополнительное профессиональное образование работники промышленных предприятий оборонно-промышленного комплекса"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01.01.2023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Астратова А.Ю.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 промышленных предприятий оборонно-промышленного комплекса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Планируемая численность 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участников в 2023 году – 12,75 тыс. человек. Средняя стоимость за курс обучения одного человека – 59,58 тыс. рублей..</w:t>
            </w:r>
          </w:p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28.04.2023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01.09.2023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23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-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исполнения соглашений о предоставлении субсидий юридическому 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3.2</w:t>
            </w:r>
          </w:p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"Приняли участие в мероприятиях по организации временного трудоустройства граждане из числа работников, находящихся под риском увольнения"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01.01.2023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Астратова А.Ю.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временных работ (компенсация работодателям расходов на частичную оплату труда при организации временного трудоустройства работников, находящихся под риском уво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льнения и материально-техническое обеспечение работ).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Участники – работники, находящиеся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риятий по высвобождению работников).</w:t>
            </w:r>
          </w:p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7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7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Планируемая численность участников в 2023 году – 123 303 человек.Период проведения временных работ – не превышает 3 месяца. Для системообразующих организаций российской экономики, градообразующих организаций в монопрофильных муниципальных образованиях, а 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акже организаций, аффилированных с системообразующими организациями российской экономики не превышает 6 месяцев. Размер выплаты на одного работника в месяц – один МРОТ, увеличенный на страховые взносы в государственные внебюджетные фонды и районный коэффиц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иент (МРОТ x 1,3 x Kрег.). Размер выплаты на материально-техническое обеспечение - 10 тыс. рублей на одного работника 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27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4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весь период.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28.04.2023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-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мониторинг исполнения 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соглашений о предоставлении субсидий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3.3</w:t>
            </w:r>
          </w:p>
          <w:p w:rsidR="00053923" w:rsidRDefault="00053923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"Приняли участие в мероприятиях по организации общественных работ граждане, зарегистрированные в органах службы занятости в целях поиска подходящей работы, включая безработных граждан"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01.01.2023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Астратова А.Ю.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общественных работ (компенсация работодателям расходов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граждан).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ники – граждане, зарегистрированные в органах службы занятости в целях поиска подходящей работы, включая безработных граждан.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Планируемая численность участников в 2023 году – 40,233 тыс. человек.</w:t>
            </w:r>
          </w:p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0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 проведения общественных работ – до 3-х месяцев.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Размер выплаты на одного человека в месяц – один МРОТ, увеличенный на страховые взносы и районный коэффициент (МРОТ x 1,3 x Kрег.).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28.04.2023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3.3.2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01.06.2023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-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3.3.3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3.3.4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  <w:tr w:rsidR="00053923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3.3.5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053923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053923"/>
        </w:tc>
      </w:tr>
      <w:tr w:rsidR="00053923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053923" w:rsidRDefault="00053923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/>
        </w:tc>
      </w:tr>
      <w:tr w:rsidR="00053923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3.3.6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предоставлении субсидий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053923" w:rsidRDefault="00053923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053923" w:rsidRDefault="00053923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Котов Т.М.</w:t>
            </w:r>
          </w:p>
          <w:p w:rsidR="00053923" w:rsidRDefault="00053923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-</w:t>
            </w:r>
          </w:p>
          <w:p w:rsidR="00053923" w:rsidRDefault="00053923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53923" w:rsidRDefault="00053923"/>
        </w:tc>
      </w:tr>
      <w:tr w:rsidR="00053923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3923" w:rsidRDefault="00053923"/>
        </w:tc>
      </w:tr>
    </w:tbl>
    <w:p w:rsidR="00053923" w:rsidRDefault="00053923">
      <w:pPr>
        <w:sectPr w:rsidR="00053923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053923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  <w:tc>
          <w:tcPr>
            <w:tcW w:w="14" w:type="dxa"/>
          </w:tcPr>
          <w:p w:rsidR="00053923" w:rsidRDefault="00053923"/>
        </w:tc>
      </w:tr>
      <w:tr w:rsidR="00053923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053923" w:rsidRDefault="00053923"/>
        </w:tc>
        <w:tc>
          <w:tcPr>
            <w:tcW w:w="14" w:type="dxa"/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053923" w:rsidRDefault="00053923"/>
        </w:tc>
        <w:tc>
          <w:tcPr>
            <w:tcW w:w="14" w:type="dxa"/>
          </w:tcPr>
          <w:p w:rsidR="00053923" w:rsidRDefault="00053923"/>
        </w:tc>
      </w:tr>
      <w:tr w:rsidR="00053923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Астратова А.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Ермолинская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центров занятости населения в субъектах Российской Федерации, в которых реализуются или реализованы проекты по модернизации</w:t>
            </w:r>
          </w:p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Астратова А.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дополнительные места в Ленинградской области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Винокуров М.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Винокуров М.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Савина Л.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к концу 2019 года не менее 200 дополнительных мест для детей в возрасте от полутора до трех лет за счет приобретения в муниципальную собственность объектов дошкольного образования</w:t>
            </w:r>
          </w:p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Огарков А.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- 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Чурикова Е.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6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Участник регионального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Егорова Ю.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0539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Савина Л.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Царева Ю.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к концу 2021 года не менее 580 дополнительных мест для детей в возрасте от полутора до трех лет за счет приобретения в муниципальную собственность объектов дошкольного образования</w:t>
            </w:r>
          </w:p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Огарков А.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- 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Царева Ю.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Савина Л.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Егорова Ю.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Чурикова Е.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условий для осуществления трудовой деятельности женщин, имеющих детей</w:t>
            </w:r>
          </w:p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Винокуров М.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150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дополнительные места в дошкольных организациях для детей в возрасте от 1,5 до 3 лет за счет средств бюджетов субъектов Российской Федерации и местных бюджетов (без софинансирования из федерального бюджета и за исключением дополнительных мест, созда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ние которых предусматривается в рамках исполнения подпункта «б» пункта 9 Правил предоставления и распределения иных межбюджетных трансфертов из федерального бюджета на создание дополнительных мест для детей в возрасте от 2 месяцев до 3 лет и подпункта «б»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пункта 9 Правил предоставления и распределения субсидий из федерального бюджета на создание дополнительных мест для детей в возрасте от 1,5 до 3 лет), тыс. мест, нарастающим итогом</w:t>
            </w:r>
          </w:p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Огарков А.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- 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1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Прошли профессиональное обучение и получили дополнительное профессиональное образование работники промышленных предприятий оборонно-промышленного комплекса</w:t>
            </w:r>
          </w:p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Астратова А.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Приняли участие в мероприятиях по организации временного трудоустройства граждане из числа работников, находящихся под риском увольнения</w:t>
            </w:r>
          </w:p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Астратова А.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Приняли участие в мероприятиях по организации общественных работ граждане, зарегистрированные в органах службы занятости в целях поиска подходящей работы, включая безработных граждан</w:t>
            </w:r>
          </w:p>
          <w:p w:rsidR="00053923" w:rsidRDefault="00053923"/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  <w:tr w:rsidR="00053923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Астратова А.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53923" w:rsidRDefault="00DC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053923" w:rsidRDefault="00053923"/>
        </w:tc>
      </w:tr>
    </w:tbl>
    <w:p w:rsidR="00000000" w:rsidRDefault="00DC40F5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53923"/>
    <w:rsid w:val="00053923"/>
    <w:rsid w:val="00D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9806</Words>
  <Characters>55896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RP_Sodejstvie_zanyatosti_(Leningradskaya_oblast')</vt:lpstr>
    </vt:vector>
  </TitlesOfParts>
  <Company>Stimulsoft Reports 2019.3.4 from 5 August 2019</Company>
  <LinksUpToDate>false</LinksUpToDate>
  <CharactersWithSpaces>65571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RP_Sodejstvie_zanyatosti_(Leningradskaya_oblast')</dc:title>
  <dc:subject>RP_Sodejstvie_zanyatosti_(Leningradskaya_oblast')</dc:subject>
  <dc:creator>Елена Анатольевна Миронович</dc:creator>
  <cp:lastModifiedBy>Елена Анатольевна Миронович</cp:lastModifiedBy>
  <cp:revision>2</cp:revision>
  <dcterms:created xsi:type="dcterms:W3CDTF">2024-01-16T06:33:00Z</dcterms:created>
  <dcterms:modified xsi:type="dcterms:W3CDTF">2024-01-16T06:33:00Z</dcterms:modified>
</cp:coreProperties>
</file>